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77E6D" w14:textId="6CFEC974" w:rsidR="00D63788" w:rsidRPr="00D63788" w:rsidRDefault="00D63788" w:rsidP="003743CE">
      <w:pPr>
        <w:tabs>
          <w:tab w:val="left" w:pos="1701"/>
          <w:tab w:val="right" w:pos="9072"/>
          <w:tab w:val="right" w:pos="10206"/>
        </w:tabs>
        <w:spacing w:after="80"/>
        <w:jc w:val="both"/>
        <w:rPr>
          <w:rFonts w:ascii="Arial" w:hAnsi="Arial"/>
          <w:b/>
          <w:sz w:val="24"/>
          <w:szCs w:val="24"/>
        </w:rPr>
      </w:pPr>
      <w:bookmarkStart w:id="0" w:name="_GoBack"/>
      <w:bookmarkEnd w:id="0"/>
      <w:r w:rsidRPr="00D63788">
        <w:rPr>
          <w:rFonts w:ascii="Arial" w:hAnsi="Arial"/>
          <w:b/>
          <w:sz w:val="24"/>
          <w:szCs w:val="24"/>
        </w:rPr>
        <w:t>3GP</w:t>
      </w:r>
      <w:r w:rsidR="003743CE">
        <w:rPr>
          <w:rFonts w:ascii="Arial" w:hAnsi="Arial"/>
          <w:b/>
          <w:sz w:val="24"/>
          <w:szCs w:val="24"/>
        </w:rPr>
        <w:t xml:space="preserve">P TSG RAN WG1 Meeting 90bis </w:t>
      </w:r>
      <w:r w:rsidR="00510E54">
        <w:rPr>
          <w:rFonts w:ascii="Arial" w:hAnsi="Arial"/>
          <w:b/>
          <w:sz w:val="24"/>
          <w:szCs w:val="24"/>
        </w:rPr>
        <w:t xml:space="preserve">    </w:t>
      </w:r>
      <w:r w:rsidR="003743CE">
        <w:rPr>
          <w:rFonts w:ascii="Arial" w:hAnsi="Arial"/>
          <w:b/>
          <w:sz w:val="24"/>
          <w:szCs w:val="24"/>
        </w:rPr>
        <w:tab/>
      </w:r>
      <w:r w:rsidR="00510E54">
        <w:rPr>
          <w:rFonts w:ascii="Arial" w:hAnsi="Arial"/>
          <w:b/>
          <w:sz w:val="24"/>
          <w:szCs w:val="24"/>
        </w:rPr>
        <w:t xml:space="preserve">         </w:t>
      </w:r>
      <w:r w:rsidR="003743CE" w:rsidRPr="003743CE">
        <w:rPr>
          <w:rFonts w:ascii="Arial" w:hAnsi="Arial"/>
          <w:b/>
          <w:sz w:val="24"/>
          <w:szCs w:val="24"/>
        </w:rPr>
        <w:t>R1-1717405</w:t>
      </w:r>
    </w:p>
    <w:p w14:paraId="010A1237" w14:textId="77777777" w:rsidR="00D63788" w:rsidRPr="00D63788" w:rsidRDefault="00D63788" w:rsidP="00D63788">
      <w:pPr>
        <w:tabs>
          <w:tab w:val="left" w:pos="1701"/>
          <w:tab w:val="right" w:pos="9072"/>
          <w:tab w:val="right" w:pos="10206"/>
        </w:tabs>
        <w:spacing w:after="80"/>
        <w:jc w:val="both"/>
        <w:rPr>
          <w:rFonts w:ascii="Arial" w:hAnsi="Arial"/>
          <w:b/>
          <w:sz w:val="24"/>
          <w:szCs w:val="24"/>
        </w:rPr>
      </w:pPr>
      <w:r w:rsidRPr="00D63788">
        <w:rPr>
          <w:rFonts w:ascii="Arial" w:hAnsi="Arial"/>
          <w:b/>
          <w:sz w:val="24"/>
          <w:szCs w:val="24"/>
        </w:rPr>
        <w:t>Prague, CZ, 9th – 13th</w:t>
      </w:r>
      <w:r w:rsidRPr="00D63788">
        <w:rPr>
          <w:rFonts w:ascii="Arial" w:hAnsi="Arial" w:hint="eastAsia"/>
          <w:b/>
          <w:sz w:val="24"/>
          <w:szCs w:val="24"/>
        </w:rPr>
        <w:t xml:space="preserve">, </w:t>
      </w:r>
      <w:r w:rsidRPr="00D63788">
        <w:rPr>
          <w:rFonts w:ascii="Arial" w:hAnsi="Arial"/>
          <w:b/>
          <w:sz w:val="24"/>
          <w:szCs w:val="24"/>
        </w:rPr>
        <w:t>October 201</w:t>
      </w:r>
      <w:r w:rsidRPr="00D63788">
        <w:rPr>
          <w:rFonts w:ascii="Arial" w:hAnsi="Arial" w:hint="eastAsia"/>
          <w:b/>
          <w:sz w:val="24"/>
          <w:szCs w:val="24"/>
        </w:rPr>
        <w:t>7</w:t>
      </w:r>
    </w:p>
    <w:p w14:paraId="7A6969C5" w14:textId="77777777" w:rsidR="008475B0" w:rsidRPr="009C718A" w:rsidRDefault="008475B0" w:rsidP="00D63788">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00D63788">
        <w:rPr>
          <w:rFonts w:ascii="Arial" w:hAnsi="Arial"/>
          <w:b/>
          <w:sz w:val="24"/>
          <w:szCs w:val="24"/>
        </w:rPr>
        <w:t>7</w:t>
      </w:r>
      <w:r w:rsidR="00F01ABB" w:rsidRPr="00F01ABB">
        <w:rPr>
          <w:rFonts w:ascii="Arial" w:hAnsi="Arial"/>
          <w:b/>
          <w:sz w:val="24"/>
          <w:szCs w:val="24"/>
        </w:rPr>
        <w:t>.4.1.2</w:t>
      </w:r>
    </w:p>
    <w:p w14:paraId="390BA7B3" w14:textId="77777777" w:rsidR="008475B0" w:rsidRPr="009C718A" w:rsidRDefault="008475B0" w:rsidP="00807FD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14:paraId="0F2D4A15" w14:textId="77777777" w:rsidR="008475B0" w:rsidRPr="009C718A" w:rsidRDefault="008475B0" w:rsidP="00D63788">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1" w:name="Title"/>
      <w:bookmarkEnd w:id="1"/>
      <w:r w:rsidRPr="009C718A">
        <w:rPr>
          <w:rFonts w:ascii="Arial" w:hAnsi="Arial"/>
          <w:b/>
          <w:sz w:val="24"/>
          <w:szCs w:val="24"/>
        </w:rPr>
        <w:tab/>
      </w:r>
      <w:r w:rsidR="00D63788" w:rsidRPr="00D63788">
        <w:rPr>
          <w:rFonts w:ascii="Arial" w:hAnsi="Arial"/>
          <w:b/>
          <w:sz w:val="24"/>
          <w:szCs w:val="24"/>
        </w:rPr>
        <w:t>RV order for special cases</w:t>
      </w:r>
    </w:p>
    <w:p w14:paraId="577FC91D" w14:textId="77777777" w:rsidR="008475B0" w:rsidRPr="009C718A" w:rsidRDefault="008475B0" w:rsidP="00807FDA">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14:paraId="5C53544C" w14:textId="77777777" w:rsidR="008475B0" w:rsidRPr="002B5BBB" w:rsidRDefault="008475B0" w:rsidP="00807FDA">
      <w:pPr>
        <w:pStyle w:val="Heading1"/>
        <w:numPr>
          <w:ilvl w:val="0"/>
          <w:numId w:val="1"/>
        </w:numPr>
        <w:ind w:left="360"/>
        <w:jc w:val="both"/>
        <w:textAlignment w:val="auto"/>
        <w:rPr>
          <w:sz w:val="32"/>
        </w:rPr>
      </w:pPr>
      <w:r w:rsidRPr="002B5BBB">
        <w:rPr>
          <w:sz w:val="32"/>
        </w:rPr>
        <w:t>Introduction</w:t>
      </w:r>
    </w:p>
    <w:p w14:paraId="6B3757CA" w14:textId="2BFD16CD" w:rsidR="006B6EBE" w:rsidRDefault="006B6EBE" w:rsidP="006C7F9F">
      <w:pPr>
        <w:jc w:val="both"/>
      </w:pPr>
      <w:r>
        <w:t xml:space="preserve">In RAN1 AH #3, some observations and agreement were made with respect to the rate-matching, as </w:t>
      </w:r>
      <w:r w:rsidR="006C7F9F">
        <w:t xml:space="preserve">attached </w:t>
      </w:r>
      <w:r>
        <w:t>in the Annex.</w:t>
      </w:r>
      <w:r w:rsidRPr="0041111E">
        <w:t xml:space="preserve"> In this contribution, we discuss </w:t>
      </w:r>
      <w:r>
        <w:rPr>
          <w:rFonts w:eastAsia="MS Mincho"/>
          <w:lang w:eastAsia="ja-JP"/>
        </w:rPr>
        <w:t>RV order for special cases where RV index is not explicitly signaled</w:t>
      </w:r>
      <w:r>
        <w:t>:</w:t>
      </w:r>
    </w:p>
    <w:p w14:paraId="452FD6FF" w14:textId="77777777" w:rsidR="006B6EBE" w:rsidRPr="009E2FCE" w:rsidRDefault="006B6EBE" w:rsidP="006B6EBE">
      <w:pPr>
        <w:pStyle w:val="ListParagraph"/>
        <w:numPr>
          <w:ilvl w:val="0"/>
          <w:numId w:val="15"/>
        </w:numPr>
        <w:jc w:val="both"/>
        <w:rPr>
          <w:rFonts w:asciiTheme="majorBidi" w:hAnsiTheme="majorBidi" w:cstheme="majorBidi"/>
          <w:sz w:val="20"/>
          <w:szCs w:val="20"/>
        </w:rPr>
      </w:pPr>
      <w:r w:rsidRPr="009E2FCE">
        <w:rPr>
          <w:rFonts w:asciiTheme="majorBidi" w:hAnsiTheme="majorBidi" w:cstheme="majorBidi"/>
          <w:sz w:val="20"/>
          <w:szCs w:val="20"/>
        </w:rPr>
        <w:t>RV ordering for BG1, and self-</w:t>
      </w:r>
      <w:proofErr w:type="spellStart"/>
      <w:r w:rsidRPr="009E2FCE">
        <w:rPr>
          <w:rFonts w:asciiTheme="majorBidi" w:hAnsiTheme="majorBidi" w:cstheme="majorBidi"/>
          <w:sz w:val="20"/>
          <w:szCs w:val="20"/>
        </w:rPr>
        <w:t>decodability</w:t>
      </w:r>
      <w:proofErr w:type="spellEnd"/>
      <w:r w:rsidRPr="009E2FCE">
        <w:rPr>
          <w:rFonts w:asciiTheme="majorBidi" w:hAnsiTheme="majorBidi" w:cstheme="majorBidi"/>
          <w:sz w:val="20"/>
          <w:szCs w:val="20"/>
        </w:rPr>
        <w:t xml:space="preserve"> of RVs</w:t>
      </w:r>
    </w:p>
    <w:p w14:paraId="5757BCCB" w14:textId="77777777" w:rsidR="006B6EBE" w:rsidRPr="009E2FCE" w:rsidRDefault="006B6EBE" w:rsidP="006B6EBE">
      <w:pPr>
        <w:pStyle w:val="ListParagraph"/>
        <w:numPr>
          <w:ilvl w:val="0"/>
          <w:numId w:val="15"/>
        </w:numPr>
        <w:jc w:val="both"/>
        <w:rPr>
          <w:rFonts w:asciiTheme="majorBidi" w:hAnsiTheme="majorBidi" w:cstheme="majorBidi"/>
          <w:sz w:val="20"/>
          <w:szCs w:val="20"/>
        </w:rPr>
      </w:pPr>
      <w:r w:rsidRPr="009E2FCE">
        <w:rPr>
          <w:rFonts w:asciiTheme="majorBidi" w:hAnsiTheme="majorBidi" w:cstheme="majorBidi"/>
          <w:sz w:val="20"/>
          <w:szCs w:val="20"/>
        </w:rPr>
        <w:t>RV ordering for BG2, and self-</w:t>
      </w:r>
      <w:proofErr w:type="spellStart"/>
      <w:r w:rsidRPr="009E2FCE">
        <w:rPr>
          <w:rFonts w:asciiTheme="majorBidi" w:hAnsiTheme="majorBidi" w:cstheme="majorBidi"/>
          <w:sz w:val="20"/>
          <w:szCs w:val="20"/>
        </w:rPr>
        <w:t>decodability</w:t>
      </w:r>
      <w:proofErr w:type="spellEnd"/>
      <w:r w:rsidRPr="009E2FCE">
        <w:rPr>
          <w:rFonts w:asciiTheme="majorBidi" w:hAnsiTheme="majorBidi" w:cstheme="majorBidi"/>
          <w:sz w:val="20"/>
          <w:szCs w:val="20"/>
        </w:rPr>
        <w:t xml:space="preserve"> of RVs</w:t>
      </w:r>
    </w:p>
    <w:p w14:paraId="1FD32B4B" w14:textId="77777777" w:rsidR="00C114C4" w:rsidRDefault="00C114C4" w:rsidP="006B6EBE">
      <w:pPr>
        <w:jc w:val="both"/>
      </w:pPr>
    </w:p>
    <w:p w14:paraId="7C03EB1C" w14:textId="38F20306" w:rsidR="008475B0" w:rsidRPr="00955CB8" w:rsidRDefault="009E2FCE" w:rsidP="00807FDA">
      <w:pPr>
        <w:pStyle w:val="Heading1"/>
        <w:numPr>
          <w:ilvl w:val="0"/>
          <w:numId w:val="1"/>
        </w:numPr>
        <w:ind w:left="360"/>
        <w:jc w:val="both"/>
        <w:textAlignment w:val="auto"/>
        <w:rPr>
          <w:sz w:val="32"/>
        </w:rPr>
      </w:pPr>
      <w:r w:rsidRPr="00B91DB5">
        <w:rPr>
          <w:sz w:val="32"/>
        </w:rPr>
        <w:t>RV ordering for BG1</w:t>
      </w:r>
    </w:p>
    <w:p w14:paraId="1F4CDBFA" w14:textId="5B0E3ACC" w:rsidR="00B91DB5" w:rsidRDefault="00442980" w:rsidP="00B91DB5">
      <w:r>
        <w:t>Figure 1</w:t>
      </w:r>
      <w:r w:rsidR="006D7C2F">
        <w:t xml:space="preserve"> </w:t>
      </w:r>
      <w:r w:rsidR="00EB09F4">
        <w:t xml:space="preserve">compares performance of </w:t>
      </w:r>
      <w:r w:rsidR="00597D2E">
        <w:t xml:space="preserve">4 </w:t>
      </w:r>
      <w:r w:rsidR="00EB09F4">
        <w:t>RV sequence</w:t>
      </w:r>
      <w:r w:rsidR="00597D2E">
        <w:t>s:</w:t>
      </w:r>
      <w:r w:rsidR="00EB09F4">
        <w:t xml:space="preserve"> </w:t>
      </w:r>
      <w:r w:rsidR="00CE1A81">
        <w:t>[</w:t>
      </w:r>
      <w:r w:rsidR="00EB09F4">
        <w:t>0231</w:t>
      </w:r>
      <w:r w:rsidR="00CE1A81">
        <w:t>]</w:t>
      </w:r>
      <w:r w:rsidR="00597D2E">
        <w:t xml:space="preserve">, </w:t>
      </w:r>
      <w:r w:rsidR="00CE1A81">
        <w:t>[</w:t>
      </w:r>
      <w:r w:rsidR="00597D2E">
        <w:t>0213</w:t>
      </w:r>
      <w:r w:rsidR="00CE1A81">
        <w:t>]</w:t>
      </w:r>
      <w:r w:rsidR="00597D2E">
        <w:t xml:space="preserve">, </w:t>
      </w:r>
      <w:r w:rsidR="00CE1A81">
        <w:t>[</w:t>
      </w:r>
      <w:r w:rsidR="00597D2E">
        <w:t>0123</w:t>
      </w:r>
      <w:r w:rsidR="00CE1A81">
        <w:t>]</w:t>
      </w:r>
      <w:r w:rsidR="00597D2E">
        <w:t>,</w:t>
      </w:r>
      <w:r w:rsidR="00EB09F4">
        <w:t xml:space="preserve"> and </w:t>
      </w:r>
      <w:r w:rsidR="00CE1A81">
        <w:t>[</w:t>
      </w:r>
      <w:r w:rsidR="00EB09F4">
        <w:t>0321</w:t>
      </w:r>
      <w:r w:rsidR="00CE1A81">
        <w:t>]</w:t>
      </w:r>
      <w:r w:rsidR="00597D2E">
        <w:t>,</w:t>
      </w:r>
      <w:r w:rsidR="00EB09F4">
        <w:t xml:space="preserve"> </w:t>
      </w:r>
      <w:r w:rsidR="006D7C2F">
        <w:t>for different rates</w:t>
      </w:r>
      <w:r>
        <w:t>.</w:t>
      </w:r>
      <w:r w:rsidR="00A84E42">
        <w:t xml:space="preserve"> </w:t>
      </w:r>
      <w:r w:rsidR="00A84E42" w:rsidRPr="007B13A0">
        <w:t>Sim</w:t>
      </w:r>
      <w:r w:rsidR="00A84E42">
        <w:t>ulations</w:t>
      </w:r>
      <w:r w:rsidR="00A84E42" w:rsidRPr="007B13A0">
        <w:t xml:space="preserve"> are</w:t>
      </w:r>
      <w:r w:rsidR="00A84E42">
        <w:t xml:space="preserve"> based on </w:t>
      </w:r>
      <w:r w:rsidR="00EB09F4">
        <w:t xml:space="preserve">QPSK, 25 </w:t>
      </w:r>
      <w:r w:rsidR="00A84E42">
        <w:t>iterations of LBP to allow full convergence in the decoder.</w:t>
      </w:r>
    </w:p>
    <w:p w14:paraId="03E6C054" w14:textId="35455C61" w:rsidR="0017749A" w:rsidRDefault="00D87028" w:rsidP="0017749A">
      <w:r>
        <w:rPr>
          <w:noProof/>
        </w:rPr>
        <w:drawing>
          <wp:inline distT="0" distB="0" distL="0" distR="0" wp14:anchorId="0A002F5F" wp14:editId="4B76696F">
            <wp:extent cx="3105150" cy="23245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G_BG1_harq_4tx_4orders_v3_r12.bmp"/>
                    <pic:cNvPicPr/>
                  </pic:nvPicPr>
                  <pic:blipFill>
                    <a:blip r:embed="rId7">
                      <a:extLst>
                        <a:ext uri="{28A0092B-C50C-407E-A947-70E740481C1C}">
                          <a14:useLocalDpi xmlns:a14="http://schemas.microsoft.com/office/drawing/2010/main" val="0"/>
                        </a:ext>
                      </a:extLst>
                    </a:blip>
                    <a:stretch>
                      <a:fillRect/>
                    </a:stretch>
                  </pic:blipFill>
                  <pic:spPr>
                    <a:xfrm>
                      <a:off x="0" y="0"/>
                      <a:ext cx="3127947" cy="2341569"/>
                    </a:xfrm>
                    <a:prstGeom prst="rect">
                      <a:avLst/>
                    </a:prstGeom>
                  </pic:spPr>
                </pic:pic>
              </a:graphicData>
            </a:graphic>
          </wp:inline>
        </w:drawing>
      </w:r>
      <w:r>
        <w:rPr>
          <w:noProof/>
        </w:rPr>
        <w:drawing>
          <wp:inline distT="0" distB="0" distL="0" distR="0" wp14:anchorId="40F5B4A1" wp14:editId="5823564B">
            <wp:extent cx="3108960" cy="2331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5G_BG1_harq_4tx_4orders_v3_r23.bmp"/>
                    <pic:cNvPicPr/>
                  </pic:nvPicPr>
                  <pic:blipFill>
                    <a:blip r:embed="rId8">
                      <a:extLst>
                        <a:ext uri="{28A0092B-C50C-407E-A947-70E740481C1C}">
                          <a14:useLocalDpi xmlns:a14="http://schemas.microsoft.com/office/drawing/2010/main" val="0"/>
                        </a:ext>
                      </a:extLst>
                    </a:blip>
                    <a:stretch>
                      <a:fillRect/>
                    </a:stretch>
                  </pic:blipFill>
                  <pic:spPr>
                    <a:xfrm>
                      <a:off x="0" y="0"/>
                      <a:ext cx="3108960" cy="2331720"/>
                    </a:xfrm>
                    <a:prstGeom prst="rect">
                      <a:avLst/>
                    </a:prstGeom>
                  </pic:spPr>
                </pic:pic>
              </a:graphicData>
            </a:graphic>
          </wp:inline>
        </w:drawing>
      </w:r>
    </w:p>
    <w:p w14:paraId="122A657E" w14:textId="77777777" w:rsidR="0017749A" w:rsidRDefault="0017749A" w:rsidP="00B91DB5"/>
    <w:p w14:paraId="7007ECE3" w14:textId="4B779E84" w:rsidR="00BE06F1" w:rsidRDefault="00D87028" w:rsidP="00BE06F1">
      <w:r>
        <w:rPr>
          <w:noProof/>
        </w:rPr>
        <w:lastRenderedPageBreak/>
        <w:drawing>
          <wp:inline distT="0" distB="0" distL="0" distR="0" wp14:anchorId="48596C53" wp14:editId="53E82AF4">
            <wp:extent cx="3116580" cy="2337435"/>
            <wp:effectExtent l="0" t="0" r="762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G_BG1_harq_4tx_4orders_v3_r34.bmp"/>
                    <pic:cNvPicPr/>
                  </pic:nvPicPr>
                  <pic:blipFill>
                    <a:blip r:embed="rId9">
                      <a:extLst>
                        <a:ext uri="{28A0092B-C50C-407E-A947-70E740481C1C}">
                          <a14:useLocalDpi xmlns:a14="http://schemas.microsoft.com/office/drawing/2010/main" val="0"/>
                        </a:ext>
                      </a:extLst>
                    </a:blip>
                    <a:stretch>
                      <a:fillRect/>
                    </a:stretch>
                  </pic:blipFill>
                  <pic:spPr>
                    <a:xfrm>
                      <a:off x="0" y="0"/>
                      <a:ext cx="3116996" cy="2337747"/>
                    </a:xfrm>
                    <a:prstGeom prst="rect">
                      <a:avLst/>
                    </a:prstGeom>
                  </pic:spPr>
                </pic:pic>
              </a:graphicData>
            </a:graphic>
          </wp:inline>
        </w:drawing>
      </w:r>
      <w:r>
        <w:rPr>
          <w:noProof/>
        </w:rPr>
        <w:drawing>
          <wp:inline distT="0" distB="0" distL="0" distR="0" wp14:anchorId="47091355" wp14:editId="6F3F0506">
            <wp:extent cx="3032140" cy="22707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5G_BG1_harq_4tx_4orders_v3_r56.bmp"/>
                    <pic:cNvPicPr/>
                  </pic:nvPicPr>
                  <pic:blipFill>
                    <a:blip r:embed="rId10">
                      <a:extLst>
                        <a:ext uri="{28A0092B-C50C-407E-A947-70E740481C1C}">
                          <a14:useLocalDpi xmlns:a14="http://schemas.microsoft.com/office/drawing/2010/main" val="0"/>
                        </a:ext>
                      </a:extLst>
                    </a:blip>
                    <a:stretch>
                      <a:fillRect/>
                    </a:stretch>
                  </pic:blipFill>
                  <pic:spPr>
                    <a:xfrm>
                      <a:off x="0" y="0"/>
                      <a:ext cx="3041124" cy="2277488"/>
                    </a:xfrm>
                    <a:prstGeom prst="rect">
                      <a:avLst/>
                    </a:prstGeom>
                  </pic:spPr>
                </pic:pic>
              </a:graphicData>
            </a:graphic>
          </wp:inline>
        </w:drawing>
      </w:r>
    </w:p>
    <w:p w14:paraId="2D6FCB16" w14:textId="564D54F6" w:rsidR="00BE06F1" w:rsidRDefault="00D87028" w:rsidP="00BE06F1">
      <w:r>
        <w:rPr>
          <w:noProof/>
        </w:rPr>
        <w:drawing>
          <wp:inline distT="0" distB="0" distL="0" distR="0" wp14:anchorId="138B6E6A" wp14:editId="757CCE30">
            <wp:extent cx="3147060" cy="236029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5G_BG1_harq_4tx_4orders_v3_r89.bmp"/>
                    <pic:cNvPicPr/>
                  </pic:nvPicPr>
                  <pic:blipFill>
                    <a:blip r:embed="rId11">
                      <a:extLst>
                        <a:ext uri="{28A0092B-C50C-407E-A947-70E740481C1C}">
                          <a14:useLocalDpi xmlns:a14="http://schemas.microsoft.com/office/drawing/2010/main" val="0"/>
                        </a:ext>
                      </a:extLst>
                    </a:blip>
                    <a:stretch>
                      <a:fillRect/>
                    </a:stretch>
                  </pic:blipFill>
                  <pic:spPr>
                    <a:xfrm>
                      <a:off x="0" y="0"/>
                      <a:ext cx="3147060" cy="2360295"/>
                    </a:xfrm>
                    <a:prstGeom prst="rect">
                      <a:avLst/>
                    </a:prstGeom>
                  </pic:spPr>
                </pic:pic>
              </a:graphicData>
            </a:graphic>
          </wp:inline>
        </w:drawing>
      </w:r>
      <w:r>
        <w:rPr>
          <w:noProof/>
        </w:rPr>
        <w:drawing>
          <wp:inline distT="0" distB="0" distL="0" distR="0" wp14:anchorId="6FC13283" wp14:editId="4A9C3A84">
            <wp:extent cx="3068320" cy="23012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5G_BG1_harq_4tx_4orders_v3_r0935.bmp"/>
                    <pic:cNvPicPr/>
                  </pic:nvPicPr>
                  <pic:blipFill>
                    <a:blip r:embed="rId12">
                      <a:extLst>
                        <a:ext uri="{28A0092B-C50C-407E-A947-70E740481C1C}">
                          <a14:useLocalDpi xmlns:a14="http://schemas.microsoft.com/office/drawing/2010/main" val="0"/>
                        </a:ext>
                      </a:extLst>
                    </a:blip>
                    <a:stretch>
                      <a:fillRect/>
                    </a:stretch>
                  </pic:blipFill>
                  <pic:spPr>
                    <a:xfrm>
                      <a:off x="0" y="0"/>
                      <a:ext cx="3068320" cy="2301240"/>
                    </a:xfrm>
                    <a:prstGeom prst="rect">
                      <a:avLst/>
                    </a:prstGeom>
                  </pic:spPr>
                </pic:pic>
              </a:graphicData>
            </a:graphic>
          </wp:inline>
        </w:drawing>
      </w:r>
    </w:p>
    <w:p w14:paraId="5AB4B3CD" w14:textId="7A92EC5A" w:rsidR="00B91DB5" w:rsidRDefault="00D87028" w:rsidP="004A4DED">
      <w:pPr>
        <w:jc w:val="center"/>
      </w:pPr>
      <w:r>
        <w:rPr>
          <w:noProof/>
        </w:rPr>
        <w:drawing>
          <wp:inline distT="0" distB="0" distL="0" distR="0" wp14:anchorId="71824183" wp14:editId="619A45A0">
            <wp:extent cx="3129280" cy="23469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5G_BG1_harq_4tx_4orders_v3_r095.bmp"/>
                    <pic:cNvPicPr/>
                  </pic:nvPicPr>
                  <pic:blipFill>
                    <a:blip r:embed="rId13">
                      <a:extLst>
                        <a:ext uri="{28A0092B-C50C-407E-A947-70E740481C1C}">
                          <a14:useLocalDpi xmlns:a14="http://schemas.microsoft.com/office/drawing/2010/main" val="0"/>
                        </a:ext>
                      </a:extLst>
                    </a:blip>
                    <a:stretch>
                      <a:fillRect/>
                    </a:stretch>
                  </pic:blipFill>
                  <pic:spPr>
                    <a:xfrm>
                      <a:off x="0" y="0"/>
                      <a:ext cx="3129280" cy="2346960"/>
                    </a:xfrm>
                    <a:prstGeom prst="rect">
                      <a:avLst/>
                    </a:prstGeom>
                  </pic:spPr>
                </pic:pic>
              </a:graphicData>
            </a:graphic>
          </wp:inline>
        </w:drawing>
      </w:r>
    </w:p>
    <w:p w14:paraId="49A86028" w14:textId="77777777" w:rsidR="00AA035B" w:rsidRDefault="00AA035B" w:rsidP="00AA035B">
      <w:pPr>
        <w:jc w:val="center"/>
        <w:rPr>
          <w:color w:val="767171" w:themeColor="background2" w:themeShade="80"/>
        </w:rPr>
      </w:pPr>
      <w:r w:rsidRPr="002821FA">
        <w:rPr>
          <w:color w:val="767171" w:themeColor="background2" w:themeShade="80"/>
        </w:rPr>
        <w:t>Fig</w:t>
      </w:r>
      <w:r>
        <w:rPr>
          <w:color w:val="767171" w:themeColor="background2" w:themeShade="80"/>
        </w:rPr>
        <w:t xml:space="preserve"> 1.</w:t>
      </w:r>
      <w:r w:rsidRPr="002821FA">
        <w:rPr>
          <w:color w:val="767171" w:themeColor="background2" w:themeShade="80"/>
        </w:rPr>
        <w:t xml:space="preserve"> Throughput vs SNR (dB) for </w:t>
      </w:r>
      <w:r>
        <w:rPr>
          <w:color w:val="767171" w:themeColor="background2" w:themeShade="80"/>
        </w:rPr>
        <w:t>different RV orders, up to 4 transmissions, for QPSK, BG1.</w:t>
      </w:r>
    </w:p>
    <w:p w14:paraId="5B7DB66C" w14:textId="00E69EA0" w:rsidR="00AD09D8" w:rsidRDefault="00AD09D8" w:rsidP="00AD09D8">
      <w:pPr>
        <w:jc w:val="center"/>
      </w:pPr>
    </w:p>
    <w:p w14:paraId="578104D9" w14:textId="7BF316EF" w:rsidR="00956BA4" w:rsidRDefault="00005FA1" w:rsidP="00386CD1">
      <w:pPr>
        <w:jc w:val="both"/>
      </w:pPr>
      <w:r>
        <w:t>Base</w:t>
      </w:r>
      <w:r w:rsidR="007361D0">
        <w:t>d</w:t>
      </w:r>
      <w:r>
        <w:t xml:space="preserve"> on these evaluations, the </w:t>
      </w:r>
      <w:r w:rsidR="00001EA7">
        <w:t>RV order</w:t>
      </w:r>
      <w:r w:rsidR="00CE1A81">
        <w:t xml:space="preserve">s [0231] and [0213] show </w:t>
      </w:r>
      <w:r w:rsidR="00001EA7">
        <w:t>performance gains up to ~1.8dB</w:t>
      </w:r>
      <w:r w:rsidR="007361D0">
        <w:t xml:space="preserve"> </w:t>
      </w:r>
      <w:r w:rsidR="00001EA7">
        <w:t xml:space="preserve">in the </w:t>
      </w:r>
      <w:r w:rsidR="00386CD1">
        <w:t>2</w:t>
      </w:r>
      <w:r w:rsidR="00386CD1" w:rsidRPr="00386CD1">
        <w:rPr>
          <w:vertAlign w:val="superscript"/>
        </w:rPr>
        <w:t>nd</w:t>
      </w:r>
      <w:r w:rsidR="00386CD1">
        <w:t xml:space="preserve"> </w:t>
      </w:r>
      <w:r w:rsidR="00001EA7">
        <w:t>transmission SNR regime</w:t>
      </w:r>
      <w:r w:rsidR="00852B51">
        <w:t xml:space="preserve"> for BG1</w:t>
      </w:r>
      <w:r w:rsidR="00001EA7">
        <w:t xml:space="preserve">, </w:t>
      </w:r>
      <w:r w:rsidR="007361D0">
        <w:t xml:space="preserve">and </w:t>
      </w:r>
      <w:r w:rsidR="00001EA7">
        <w:t>is</w:t>
      </w:r>
      <w:r w:rsidR="007361D0">
        <w:t xml:space="preserve"> more preferable.</w:t>
      </w:r>
      <w:r w:rsidR="007965AC">
        <w:t xml:space="preserve"> </w:t>
      </w:r>
    </w:p>
    <w:p w14:paraId="1A1E99B6" w14:textId="77777777" w:rsidR="0017749A" w:rsidRDefault="0017749A" w:rsidP="003E2572">
      <w:pPr>
        <w:jc w:val="both"/>
        <w:rPr>
          <w:b/>
          <w:u w:val="single"/>
        </w:rPr>
      </w:pPr>
    </w:p>
    <w:p w14:paraId="4540CD20" w14:textId="1EF6A5D2" w:rsidR="003E2572" w:rsidRPr="007E1512" w:rsidRDefault="003E2572" w:rsidP="003E2572">
      <w:pPr>
        <w:jc w:val="both"/>
        <w:rPr>
          <w:b/>
          <w:u w:val="single"/>
        </w:rPr>
      </w:pPr>
      <w:r>
        <w:rPr>
          <w:b/>
          <w:u w:val="single"/>
        </w:rPr>
        <w:t>Self-</w:t>
      </w:r>
      <w:proofErr w:type="spellStart"/>
      <w:r>
        <w:rPr>
          <w:b/>
          <w:u w:val="single"/>
        </w:rPr>
        <w:t>decodability</w:t>
      </w:r>
      <w:proofErr w:type="spellEnd"/>
      <w:r>
        <w:rPr>
          <w:b/>
          <w:u w:val="single"/>
        </w:rPr>
        <w:t xml:space="preserve"> of RV3 with BG1</w:t>
      </w:r>
      <w:r w:rsidRPr="00062F19">
        <w:rPr>
          <w:b/>
          <w:u w:val="single"/>
        </w:rPr>
        <w:t xml:space="preserve"> </w:t>
      </w:r>
    </w:p>
    <w:p w14:paraId="614BE573" w14:textId="0777A88D" w:rsidR="003E2572" w:rsidRDefault="003E2572" w:rsidP="00112FF0">
      <w:pPr>
        <w:jc w:val="both"/>
      </w:pPr>
      <w:r>
        <w:t>Figure 2 shows</w:t>
      </w:r>
      <w:r w:rsidR="00BC5C1C">
        <w:t xml:space="preserve"> the throughput and BLER versus SNR for BG1, RV3. Based on these results,</w:t>
      </w:r>
      <w:r>
        <w:t xml:space="preserve"> RV3 is self-decodable for the simulated rates less than 0.935 for BG1, and starting from that rate, it is not self-decodable anymore.</w:t>
      </w:r>
      <w:r w:rsidR="00112FF0">
        <w:t xml:space="preserve"> See [1] for more results regarding self-</w:t>
      </w:r>
      <w:proofErr w:type="spellStart"/>
      <w:r w:rsidR="00112FF0">
        <w:t>decodability</w:t>
      </w:r>
      <w:proofErr w:type="spellEnd"/>
      <w:r w:rsidR="00112FF0">
        <w:t xml:space="preserve"> of different RVs</w:t>
      </w:r>
      <w:r w:rsidR="00A067B0">
        <w:t xml:space="preserve"> for BG1</w:t>
      </w:r>
      <w:r w:rsidR="00112FF0">
        <w:t>.</w:t>
      </w:r>
      <w:r>
        <w:t xml:space="preserve"> </w:t>
      </w:r>
    </w:p>
    <w:p w14:paraId="5A6F9AB8" w14:textId="585490D7" w:rsidR="003E2572" w:rsidRDefault="00F02559" w:rsidP="003E2572">
      <w:r w:rsidRPr="00F02559">
        <w:rPr>
          <w:noProof/>
        </w:rPr>
        <w:drawing>
          <wp:inline distT="0" distB="0" distL="0" distR="0" wp14:anchorId="285A347F" wp14:editId="16A6D2EA">
            <wp:extent cx="3143250" cy="2356032"/>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1105" cy="2376911"/>
                    </a:xfrm>
                    <a:prstGeom prst="rect">
                      <a:avLst/>
                    </a:prstGeom>
                    <a:noFill/>
                    <a:ln>
                      <a:noFill/>
                    </a:ln>
                  </pic:spPr>
                </pic:pic>
              </a:graphicData>
            </a:graphic>
          </wp:inline>
        </w:drawing>
      </w:r>
      <w:r w:rsidRPr="00F02559">
        <w:t xml:space="preserve"> </w:t>
      </w:r>
      <w:r w:rsidRPr="00F02559">
        <w:rPr>
          <w:noProof/>
        </w:rPr>
        <w:drawing>
          <wp:inline distT="0" distB="0" distL="0" distR="0" wp14:anchorId="282B507A" wp14:editId="0F0064B1">
            <wp:extent cx="3079469" cy="23082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3170" cy="2318494"/>
                    </a:xfrm>
                    <a:prstGeom prst="rect">
                      <a:avLst/>
                    </a:prstGeom>
                    <a:noFill/>
                    <a:ln>
                      <a:noFill/>
                    </a:ln>
                  </pic:spPr>
                </pic:pic>
              </a:graphicData>
            </a:graphic>
          </wp:inline>
        </w:drawing>
      </w:r>
    </w:p>
    <w:p w14:paraId="5F1822BA" w14:textId="2F3042D1" w:rsidR="003E2572" w:rsidRDefault="003E2572" w:rsidP="00D83BE8">
      <w:pPr>
        <w:jc w:val="center"/>
        <w:rPr>
          <w:color w:val="767171" w:themeColor="background2" w:themeShade="80"/>
        </w:rPr>
      </w:pPr>
      <w:r w:rsidRPr="002821FA">
        <w:rPr>
          <w:color w:val="767171" w:themeColor="background2" w:themeShade="80"/>
        </w:rPr>
        <w:t>Fig</w:t>
      </w:r>
      <w:r>
        <w:rPr>
          <w:color w:val="767171" w:themeColor="background2" w:themeShade="80"/>
        </w:rPr>
        <w:t xml:space="preserve"> </w:t>
      </w:r>
      <w:r w:rsidR="00D83BE8">
        <w:rPr>
          <w:color w:val="767171" w:themeColor="background2" w:themeShade="80"/>
        </w:rPr>
        <w:t>2</w:t>
      </w:r>
      <w:r>
        <w:rPr>
          <w:color w:val="767171" w:themeColor="background2" w:themeShade="80"/>
        </w:rPr>
        <w:t>.</w:t>
      </w:r>
      <w:r w:rsidRPr="002821FA">
        <w:rPr>
          <w:color w:val="767171" w:themeColor="background2" w:themeShade="80"/>
        </w:rPr>
        <w:t xml:space="preserve"> Throughput vs SNR (dB)</w:t>
      </w:r>
      <w:r w:rsidR="00D83BE8">
        <w:rPr>
          <w:color w:val="767171" w:themeColor="background2" w:themeShade="80"/>
        </w:rPr>
        <w:t xml:space="preserve"> and BLER</w:t>
      </w:r>
      <w:r w:rsidR="00D83BE8" w:rsidRPr="002821FA">
        <w:rPr>
          <w:color w:val="767171" w:themeColor="background2" w:themeShade="80"/>
        </w:rPr>
        <w:t xml:space="preserve"> vs SNR (dB)</w:t>
      </w:r>
      <w:r w:rsidRPr="002821FA">
        <w:rPr>
          <w:color w:val="767171" w:themeColor="background2" w:themeShade="80"/>
        </w:rPr>
        <w:t xml:space="preserve"> for </w:t>
      </w:r>
      <w:r>
        <w:rPr>
          <w:color w:val="767171" w:themeColor="background2" w:themeShade="80"/>
        </w:rPr>
        <w:t>RV3, 1 transmissions, for QPSK, BG1.</w:t>
      </w:r>
    </w:p>
    <w:p w14:paraId="7878D679" w14:textId="77777777" w:rsidR="00D36A0D" w:rsidRDefault="00D36A0D" w:rsidP="00D36A0D">
      <w:pPr>
        <w:jc w:val="both"/>
        <w:rPr>
          <w:b/>
        </w:rPr>
      </w:pPr>
      <w:r>
        <w:rPr>
          <w:b/>
        </w:rPr>
        <w:t>Observation 1</w:t>
      </w:r>
      <w:r w:rsidRPr="005F320A">
        <w:rPr>
          <w:b/>
        </w:rPr>
        <w:t xml:space="preserve">: </w:t>
      </w:r>
      <w:r>
        <w:rPr>
          <w:b/>
        </w:rPr>
        <w:t>Based on the evaluated block size, for BG1,</w:t>
      </w:r>
    </w:p>
    <w:p w14:paraId="4EC8E986" w14:textId="77777777" w:rsidR="00D36A0D" w:rsidRPr="00B94725" w:rsidRDefault="00D36A0D" w:rsidP="00D36A0D">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RV0 is self-decodable for at least rates 0.95 and lower.</w:t>
      </w:r>
    </w:p>
    <w:p w14:paraId="0CB3A667" w14:textId="77777777" w:rsidR="00D36A0D" w:rsidRDefault="00D36A0D" w:rsidP="00D36A0D">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RV3 is self-decodable for rates lower than 0.935 and at least not self-decodable for rates 0.935 and higher.</w:t>
      </w:r>
    </w:p>
    <w:p w14:paraId="63038665" w14:textId="77777777" w:rsidR="00D36A0D" w:rsidRPr="00B94725" w:rsidRDefault="00D36A0D" w:rsidP="00D36A0D">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w:t>
      </w:r>
      <w:r>
        <w:rPr>
          <w:rFonts w:asciiTheme="majorBidi" w:hAnsiTheme="majorBidi" w:cstheme="majorBidi"/>
          <w:b/>
          <w:sz w:val="20"/>
          <w:szCs w:val="20"/>
        </w:rPr>
        <w:t>2</w:t>
      </w:r>
      <w:r w:rsidRPr="00B94725">
        <w:rPr>
          <w:rFonts w:asciiTheme="majorBidi" w:hAnsiTheme="majorBidi" w:cstheme="majorBidi"/>
          <w:b/>
          <w:sz w:val="20"/>
          <w:szCs w:val="20"/>
        </w:rPr>
        <w:t xml:space="preserve"> is self-dec</w:t>
      </w:r>
      <w:r>
        <w:rPr>
          <w:rFonts w:asciiTheme="majorBidi" w:hAnsiTheme="majorBidi" w:cstheme="majorBidi"/>
          <w:b/>
          <w:sz w:val="20"/>
          <w:szCs w:val="20"/>
        </w:rPr>
        <w:t>odable for rates lower than 0.</w:t>
      </w:r>
      <w:r w:rsidRPr="00B94725">
        <w:rPr>
          <w:rFonts w:asciiTheme="majorBidi" w:hAnsiTheme="majorBidi" w:cstheme="majorBidi"/>
          <w:b/>
          <w:sz w:val="20"/>
          <w:szCs w:val="20"/>
        </w:rPr>
        <w:t>5 and at least not self-decodable for rates 0.</w:t>
      </w:r>
      <w:r>
        <w:rPr>
          <w:rFonts w:asciiTheme="majorBidi" w:hAnsiTheme="majorBidi" w:cstheme="majorBidi"/>
          <w:b/>
          <w:sz w:val="20"/>
          <w:szCs w:val="20"/>
        </w:rPr>
        <w:t>667</w:t>
      </w:r>
      <w:r w:rsidRPr="00B94725">
        <w:rPr>
          <w:rFonts w:asciiTheme="majorBidi" w:hAnsiTheme="majorBidi" w:cstheme="majorBidi"/>
          <w:b/>
          <w:sz w:val="20"/>
          <w:szCs w:val="20"/>
        </w:rPr>
        <w:t xml:space="preserve"> and higher.</w:t>
      </w:r>
    </w:p>
    <w:p w14:paraId="1947CDC0" w14:textId="77777777" w:rsidR="00D36A0D" w:rsidRDefault="00D36A0D" w:rsidP="00D36A0D">
      <w:pPr>
        <w:jc w:val="both"/>
        <w:rPr>
          <w:b/>
        </w:rPr>
      </w:pPr>
    </w:p>
    <w:p w14:paraId="72ACF84B" w14:textId="77777777" w:rsidR="00D36A0D" w:rsidRDefault="00D36A0D" w:rsidP="00D36A0D">
      <w:pPr>
        <w:jc w:val="both"/>
      </w:pPr>
      <w:r>
        <w:rPr>
          <w:b/>
        </w:rPr>
        <w:t xml:space="preserve">Observation 2: For BG1, HARQ evaluations indicate RV sequences [0231] and [0213] outperform RV sequences [0321] and [0123]. </w:t>
      </w:r>
    </w:p>
    <w:p w14:paraId="0BA3DDFD" w14:textId="32BE0794" w:rsidR="00956BA4" w:rsidRPr="00955CB8" w:rsidRDefault="00956BA4" w:rsidP="00956BA4">
      <w:pPr>
        <w:pStyle w:val="Heading1"/>
        <w:numPr>
          <w:ilvl w:val="0"/>
          <w:numId w:val="1"/>
        </w:numPr>
        <w:ind w:left="360"/>
        <w:jc w:val="both"/>
        <w:textAlignment w:val="auto"/>
        <w:rPr>
          <w:sz w:val="32"/>
        </w:rPr>
      </w:pPr>
      <w:r w:rsidRPr="00B91DB5">
        <w:rPr>
          <w:sz w:val="32"/>
        </w:rPr>
        <w:t>RV ordering for BG</w:t>
      </w:r>
      <w:r>
        <w:rPr>
          <w:sz w:val="32"/>
        </w:rPr>
        <w:t>2</w:t>
      </w:r>
    </w:p>
    <w:p w14:paraId="290CE008" w14:textId="6892E297" w:rsidR="00852B51" w:rsidRDefault="00852B51" w:rsidP="00386CD1">
      <w:pPr>
        <w:jc w:val="both"/>
      </w:pPr>
      <w:r>
        <w:t xml:space="preserve">Figures </w:t>
      </w:r>
      <w:r w:rsidR="00EF12FE">
        <w:t xml:space="preserve">3 </w:t>
      </w:r>
      <w:r>
        <w:t>show</w:t>
      </w:r>
      <w:r w:rsidR="00515629">
        <w:t>s</w:t>
      </w:r>
      <w:r>
        <w:t xml:space="preserve"> results for</w:t>
      </w:r>
      <w:r w:rsidR="00B35879">
        <w:t xml:space="preserve"> different RV sequences with</w:t>
      </w:r>
      <w:r>
        <w:t xml:space="preserve"> BG2. RV sequence</w:t>
      </w:r>
      <w:r w:rsidR="0045797D">
        <w:t>s</w:t>
      </w:r>
      <w:r>
        <w:t xml:space="preserve"> [0231] </w:t>
      </w:r>
      <w:r w:rsidR="0045797D">
        <w:t xml:space="preserve">and [0213] </w:t>
      </w:r>
      <w:r>
        <w:t>show up to ~1dB performance gain</w:t>
      </w:r>
      <w:r w:rsidR="00B35879">
        <w:t xml:space="preserve"> for medium rates</w:t>
      </w:r>
      <w:r>
        <w:t xml:space="preserve"> in the </w:t>
      </w:r>
      <w:r w:rsidR="00386CD1">
        <w:t>2</w:t>
      </w:r>
      <w:r w:rsidR="00386CD1" w:rsidRPr="00386CD1">
        <w:rPr>
          <w:vertAlign w:val="superscript"/>
        </w:rPr>
        <w:t>nd</w:t>
      </w:r>
      <w:r>
        <w:t xml:space="preserve"> transmission regime</w:t>
      </w:r>
      <w:r w:rsidR="0045797D">
        <w:t>, compared to other two sequences,</w:t>
      </w:r>
      <w:r w:rsidR="00956BA4" w:rsidRPr="00956BA4">
        <w:t xml:space="preserve"> </w:t>
      </w:r>
      <w:r w:rsidR="0045797D">
        <w:t>for BG2 as well.</w:t>
      </w:r>
      <w:r w:rsidR="00386CD1">
        <w:t xml:space="preserve"> For simplicity, RV sequence [0231] can be chosen for the special cases where the RV sequence is not explicitly signaled. </w:t>
      </w:r>
    </w:p>
    <w:p w14:paraId="1D8FB35D" w14:textId="2A6A9008" w:rsidR="00515629" w:rsidRDefault="00C06174" w:rsidP="00515629">
      <w:r>
        <w:rPr>
          <w:noProof/>
        </w:rPr>
        <w:lastRenderedPageBreak/>
        <w:drawing>
          <wp:inline distT="0" distB="0" distL="0" distR="0" wp14:anchorId="20F2D322" wp14:editId="3C191AD6">
            <wp:extent cx="3159760" cy="236982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5G_BG2_harq_4tx_4orders_v2_r15.bmp"/>
                    <pic:cNvPicPr/>
                  </pic:nvPicPr>
                  <pic:blipFill>
                    <a:blip r:embed="rId16">
                      <a:extLst>
                        <a:ext uri="{28A0092B-C50C-407E-A947-70E740481C1C}">
                          <a14:useLocalDpi xmlns:a14="http://schemas.microsoft.com/office/drawing/2010/main" val="0"/>
                        </a:ext>
                      </a:extLst>
                    </a:blip>
                    <a:stretch>
                      <a:fillRect/>
                    </a:stretch>
                  </pic:blipFill>
                  <pic:spPr>
                    <a:xfrm>
                      <a:off x="0" y="0"/>
                      <a:ext cx="3159760" cy="2369820"/>
                    </a:xfrm>
                    <a:prstGeom prst="rect">
                      <a:avLst/>
                    </a:prstGeom>
                  </pic:spPr>
                </pic:pic>
              </a:graphicData>
            </a:graphic>
          </wp:inline>
        </w:drawing>
      </w:r>
      <w:r>
        <w:rPr>
          <w:noProof/>
        </w:rPr>
        <w:drawing>
          <wp:inline distT="0" distB="0" distL="0" distR="0" wp14:anchorId="552454A7" wp14:editId="1C30923F">
            <wp:extent cx="3149600" cy="2362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5G_BG2_harq_4tx_4orders_v2_r14.bmp"/>
                    <pic:cNvPicPr/>
                  </pic:nvPicPr>
                  <pic:blipFill>
                    <a:blip r:embed="rId17">
                      <a:extLst>
                        <a:ext uri="{28A0092B-C50C-407E-A947-70E740481C1C}">
                          <a14:useLocalDpi xmlns:a14="http://schemas.microsoft.com/office/drawing/2010/main" val="0"/>
                        </a:ext>
                      </a:extLst>
                    </a:blip>
                    <a:stretch>
                      <a:fillRect/>
                    </a:stretch>
                  </pic:blipFill>
                  <pic:spPr>
                    <a:xfrm>
                      <a:off x="0" y="0"/>
                      <a:ext cx="3149600" cy="2362200"/>
                    </a:xfrm>
                    <a:prstGeom prst="rect">
                      <a:avLst/>
                    </a:prstGeom>
                  </pic:spPr>
                </pic:pic>
              </a:graphicData>
            </a:graphic>
          </wp:inline>
        </w:drawing>
      </w:r>
    </w:p>
    <w:p w14:paraId="2CE0C443" w14:textId="5203D48D" w:rsidR="00515629" w:rsidRDefault="00C06174" w:rsidP="00515629">
      <w:r>
        <w:rPr>
          <w:noProof/>
        </w:rPr>
        <w:drawing>
          <wp:inline distT="0" distB="0" distL="0" distR="0" wp14:anchorId="2C5F0EC0" wp14:editId="7802F9A5">
            <wp:extent cx="3131820" cy="23488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5G_BG2_harq_4tx_4orders_v2_r13.bmp"/>
                    <pic:cNvPicPr/>
                  </pic:nvPicPr>
                  <pic:blipFill>
                    <a:blip r:embed="rId18">
                      <a:extLst>
                        <a:ext uri="{28A0092B-C50C-407E-A947-70E740481C1C}">
                          <a14:useLocalDpi xmlns:a14="http://schemas.microsoft.com/office/drawing/2010/main" val="0"/>
                        </a:ext>
                      </a:extLst>
                    </a:blip>
                    <a:stretch>
                      <a:fillRect/>
                    </a:stretch>
                  </pic:blipFill>
                  <pic:spPr>
                    <a:xfrm>
                      <a:off x="0" y="0"/>
                      <a:ext cx="3131820" cy="2348865"/>
                    </a:xfrm>
                    <a:prstGeom prst="rect">
                      <a:avLst/>
                    </a:prstGeom>
                  </pic:spPr>
                </pic:pic>
              </a:graphicData>
            </a:graphic>
          </wp:inline>
        </w:drawing>
      </w:r>
      <w:r>
        <w:rPr>
          <w:noProof/>
        </w:rPr>
        <w:drawing>
          <wp:inline distT="0" distB="0" distL="0" distR="0" wp14:anchorId="77FDF518" wp14:editId="64817AB8">
            <wp:extent cx="3119120" cy="2339340"/>
            <wp:effectExtent l="0" t="0" r="508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5G_BG2_harq_4tx_4orders_v2_r12.bmp"/>
                    <pic:cNvPicPr/>
                  </pic:nvPicPr>
                  <pic:blipFill>
                    <a:blip r:embed="rId19">
                      <a:extLst>
                        <a:ext uri="{28A0092B-C50C-407E-A947-70E740481C1C}">
                          <a14:useLocalDpi xmlns:a14="http://schemas.microsoft.com/office/drawing/2010/main" val="0"/>
                        </a:ext>
                      </a:extLst>
                    </a:blip>
                    <a:stretch>
                      <a:fillRect/>
                    </a:stretch>
                  </pic:blipFill>
                  <pic:spPr>
                    <a:xfrm>
                      <a:off x="0" y="0"/>
                      <a:ext cx="3119120" cy="2339340"/>
                    </a:xfrm>
                    <a:prstGeom prst="rect">
                      <a:avLst/>
                    </a:prstGeom>
                  </pic:spPr>
                </pic:pic>
              </a:graphicData>
            </a:graphic>
          </wp:inline>
        </w:drawing>
      </w:r>
    </w:p>
    <w:p w14:paraId="45D61123" w14:textId="7E23CF9A" w:rsidR="00515629" w:rsidRDefault="00C06174" w:rsidP="00515629">
      <w:pPr>
        <w:jc w:val="center"/>
      </w:pPr>
      <w:r>
        <w:rPr>
          <w:noProof/>
        </w:rPr>
        <w:drawing>
          <wp:inline distT="0" distB="0" distL="0" distR="0" wp14:anchorId="3EE0456D" wp14:editId="5D7F5FA5">
            <wp:extent cx="3149600" cy="2362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5G_BG2_harq_4tx_4orders_v2_r23.bmp"/>
                    <pic:cNvPicPr/>
                  </pic:nvPicPr>
                  <pic:blipFill>
                    <a:blip r:embed="rId20">
                      <a:extLst>
                        <a:ext uri="{28A0092B-C50C-407E-A947-70E740481C1C}">
                          <a14:useLocalDpi xmlns:a14="http://schemas.microsoft.com/office/drawing/2010/main" val="0"/>
                        </a:ext>
                      </a:extLst>
                    </a:blip>
                    <a:stretch>
                      <a:fillRect/>
                    </a:stretch>
                  </pic:blipFill>
                  <pic:spPr>
                    <a:xfrm>
                      <a:off x="0" y="0"/>
                      <a:ext cx="3149600" cy="2362200"/>
                    </a:xfrm>
                    <a:prstGeom prst="rect">
                      <a:avLst/>
                    </a:prstGeom>
                  </pic:spPr>
                </pic:pic>
              </a:graphicData>
            </a:graphic>
          </wp:inline>
        </w:drawing>
      </w:r>
    </w:p>
    <w:p w14:paraId="405C3A8A" w14:textId="15FB883E" w:rsidR="00515629" w:rsidRDefault="00515629" w:rsidP="00EF12FE">
      <w:pPr>
        <w:jc w:val="center"/>
        <w:rPr>
          <w:color w:val="767171" w:themeColor="background2" w:themeShade="80"/>
        </w:rPr>
      </w:pPr>
      <w:r w:rsidRPr="002821FA">
        <w:rPr>
          <w:color w:val="767171" w:themeColor="background2" w:themeShade="80"/>
        </w:rPr>
        <w:t>Fig</w:t>
      </w:r>
      <w:r>
        <w:rPr>
          <w:color w:val="767171" w:themeColor="background2" w:themeShade="80"/>
        </w:rPr>
        <w:t xml:space="preserve"> </w:t>
      </w:r>
      <w:r w:rsidR="00EF12FE">
        <w:rPr>
          <w:color w:val="767171" w:themeColor="background2" w:themeShade="80"/>
        </w:rPr>
        <w:t>3</w:t>
      </w:r>
      <w:r>
        <w:rPr>
          <w:color w:val="767171" w:themeColor="background2" w:themeShade="80"/>
        </w:rPr>
        <w:t>.</w:t>
      </w:r>
      <w:r w:rsidRPr="002821FA">
        <w:rPr>
          <w:color w:val="767171" w:themeColor="background2" w:themeShade="80"/>
        </w:rPr>
        <w:t xml:space="preserve"> Throughput vs SNR (dB) for </w:t>
      </w:r>
      <w:r>
        <w:rPr>
          <w:color w:val="767171" w:themeColor="background2" w:themeShade="80"/>
        </w:rPr>
        <w:t>different RV orders, up to 4 transmissions, for QPSK, BG2.</w:t>
      </w:r>
    </w:p>
    <w:p w14:paraId="4D49D2D5" w14:textId="07A88B9F" w:rsidR="00EF12FE" w:rsidRPr="007E1512" w:rsidRDefault="00EF12FE" w:rsidP="00EF12FE">
      <w:pPr>
        <w:jc w:val="both"/>
        <w:rPr>
          <w:b/>
          <w:u w:val="single"/>
        </w:rPr>
      </w:pPr>
      <w:r>
        <w:rPr>
          <w:b/>
          <w:u w:val="single"/>
        </w:rPr>
        <w:t>Self-</w:t>
      </w:r>
      <w:proofErr w:type="spellStart"/>
      <w:r>
        <w:rPr>
          <w:b/>
          <w:u w:val="single"/>
        </w:rPr>
        <w:t>decodability</w:t>
      </w:r>
      <w:proofErr w:type="spellEnd"/>
      <w:r>
        <w:rPr>
          <w:b/>
          <w:u w:val="single"/>
        </w:rPr>
        <w:t xml:space="preserve"> of </w:t>
      </w:r>
      <w:r w:rsidR="001E597F">
        <w:rPr>
          <w:b/>
          <w:u w:val="single"/>
        </w:rPr>
        <w:t xml:space="preserve">RV2 and </w:t>
      </w:r>
      <w:r>
        <w:rPr>
          <w:b/>
          <w:u w:val="single"/>
        </w:rPr>
        <w:t>RV3 with BG2</w:t>
      </w:r>
      <w:r w:rsidRPr="00062F19">
        <w:rPr>
          <w:b/>
          <w:u w:val="single"/>
        </w:rPr>
        <w:t xml:space="preserve"> </w:t>
      </w:r>
    </w:p>
    <w:p w14:paraId="7AC250EF" w14:textId="3C3556F7" w:rsidR="005F56FF" w:rsidRDefault="00EF12FE" w:rsidP="00F04B0F">
      <w:pPr>
        <w:jc w:val="both"/>
      </w:pPr>
      <w:r>
        <w:t>Figure</w:t>
      </w:r>
      <w:r w:rsidR="005F56FF">
        <w:t xml:space="preserve"> 4 and</w:t>
      </w:r>
      <w:r>
        <w:t xml:space="preserve"> </w:t>
      </w:r>
      <w:r w:rsidR="005F56FF">
        <w:t xml:space="preserve">5 </w:t>
      </w:r>
      <w:r>
        <w:t xml:space="preserve">show </w:t>
      </w:r>
      <w:r w:rsidR="00B849F8">
        <w:t xml:space="preserve">BLER results for </w:t>
      </w:r>
      <w:r w:rsidR="005F56FF">
        <w:t xml:space="preserve">RV0, </w:t>
      </w:r>
      <w:r w:rsidR="00B849F8">
        <w:t xml:space="preserve">RV2 and RV3 for BG2. Based on these results, </w:t>
      </w:r>
      <w:r w:rsidR="005F56FF">
        <w:t xml:space="preserve">RV0 </w:t>
      </w:r>
      <w:r>
        <w:t xml:space="preserve">is self-decodable </w:t>
      </w:r>
      <w:r w:rsidR="005F56FF">
        <w:t xml:space="preserve">at least </w:t>
      </w:r>
      <w:r>
        <w:t xml:space="preserve">for </w:t>
      </w:r>
      <w:r w:rsidR="004B1E00">
        <w:t>all</w:t>
      </w:r>
      <w:r>
        <w:t xml:space="preserve"> rates</w:t>
      </w:r>
      <w:r w:rsidR="005F56FF">
        <w:t>&lt;=0.935</w:t>
      </w:r>
      <w:r>
        <w:t xml:space="preserve"> for BG</w:t>
      </w:r>
      <w:r w:rsidR="004B1E00">
        <w:t xml:space="preserve">2. </w:t>
      </w:r>
      <w:r w:rsidR="005F56FF">
        <w:t xml:space="preserve">RV3 </w:t>
      </w:r>
      <w:r w:rsidR="004B1E00">
        <w:t>is self-decodable, for rates &lt;</w:t>
      </w:r>
      <w:r w:rsidR="00B849F8">
        <w:t>=</w:t>
      </w:r>
      <w:r w:rsidR="005F56FF">
        <w:t>0.7</w:t>
      </w:r>
      <w:r w:rsidR="00CE1A81">
        <w:t>,</w:t>
      </w:r>
      <w:r>
        <w:t xml:space="preserve"> and</w:t>
      </w:r>
      <w:r w:rsidR="00CE1A81">
        <w:t xml:space="preserve"> not self-decodable at least</w:t>
      </w:r>
      <w:r>
        <w:t xml:space="preserve"> </w:t>
      </w:r>
      <w:r w:rsidR="00CE1A81">
        <w:t xml:space="preserve">for </w:t>
      </w:r>
      <w:r>
        <w:t>rate</w:t>
      </w:r>
      <w:r w:rsidR="00CE1A81">
        <w:t>s</w:t>
      </w:r>
      <w:r w:rsidR="005F56FF">
        <w:t xml:space="preserve"> </w:t>
      </w:r>
      <w:r w:rsidR="00CE1A81">
        <w:t>&gt;=</w:t>
      </w:r>
      <w:r w:rsidR="005F56FF">
        <w:t>0.75</w:t>
      </w:r>
      <w:r>
        <w:t xml:space="preserve">. </w:t>
      </w:r>
      <w:r w:rsidR="005F56FF">
        <w:t xml:space="preserve">RV2 is also self-decodable, for rates &lt;=1/3 and </w:t>
      </w:r>
      <w:r w:rsidR="00CE1A81">
        <w:t xml:space="preserve">at least </w:t>
      </w:r>
      <w:r w:rsidR="005F56FF">
        <w:t xml:space="preserve">not self-decodable for rates&gt;=0.5. </w:t>
      </w:r>
    </w:p>
    <w:p w14:paraId="242A0268" w14:textId="74501C34" w:rsidR="00EF12FE" w:rsidRDefault="00EF12FE" w:rsidP="005F56FF">
      <w:pPr>
        <w:jc w:val="both"/>
      </w:pPr>
    </w:p>
    <w:p w14:paraId="7AAB1F21" w14:textId="719C6A3E" w:rsidR="00EF12FE" w:rsidRDefault="005F56FF" w:rsidP="00B849F8">
      <w:pPr>
        <w:jc w:val="center"/>
      </w:pPr>
      <w:r>
        <w:rPr>
          <w:noProof/>
        </w:rPr>
        <w:drawing>
          <wp:inline distT="0" distB="0" distL="0" distR="0" wp14:anchorId="3B4616C2" wp14:editId="4EAE269F">
            <wp:extent cx="3649980" cy="2741487"/>
            <wp:effectExtent l="0" t="0" r="762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tx_RV3_RV2_decodability_BG2_BLER.bmp"/>
                    <pic:cNvPicPr/>
                  </pic:nvPicPr>
                  <pic:blipFill rotWithShape="1">
                    <a:blip r:embed="rId21">
                      <a:extLst>
                        <a:ext uri="{28A0092B-C50C-407E-A947-70E740481C1C}">
                          <a14:useLocalDpi xmlns:a14="http://schemas.microsoft.com/office/drawing/2010/main" val="0"/>
                        </a:ext>
                      </a:extLst>
                    </a:blip>
                    <a:srcRect l="2979" t="2837"/>
                    <a:stretch/>
                  </pic:blipFill>
                  <pic:spPr bwMode="auto">
                    <a:xfrm>
                      <a:off x="0" y="0"/>
                      <a:ext cx="3651788" cy="2742845"/>
                    </a:xfrm>
                    <a:prstGeom prst="rect">
                      <a:avLst/>
                    </a:prstGeom>
                    <a:ln>
                      <a:noFill/>
                    </a:ln>
                    <a:extLst>
                      <a:ext uri="{53640926-AAD7-44D8-BBD7-CCE9431645EC}">
                        <a14:shadowObscured xmlns:a14="http://schemas.microsoft.com/office/drawing/2010/main"/>
                      </a:ext>
                    </a:extLst>
                  </pic:spPr>
                </pic:pic>
              </a:graphicData>
            </a:graphic>
          </wp:inline>
        </w:drawing>
      </w:r>
    </w:p>
    <w:p w14:paraId="11D61C8B" w14:textId="57E28393" w:rsidR="00EF12FE" w:rsidRDefault="00EF12FE" w:rsidP="00BC5C1C">
      <w:pPr>
        <w:jc w:val="center"/>
        <w:rPr>
          <w:color w:val="767171" w:themeColor="background2" w:themeShade="80"/>
        </w:rPr>
      </w:pPr>
      <w:r w:rsidRPr="002821FA">
        <w:rPr>
          <w:color w:val="767171" w:themeColor="background2" w:themeShade="80"/>
        </w:rPr>
        <w:t>Fig</w:t>
      </w:r>
      <w:r>
        <w:rPr>
          <w:color w:val="767171" w:themeColor="background2" w:themeShade="80"/>
        </w:rPr>
        <w:t xml:space="preserve"> </w:t>
      </w:r>
      <w:r w:rsidR="00966332">
        <w:rPr>
          <w:color w:val="767171" w:themeColor="background2" w:themeShade="80"/>
        </w:rPr>
        <w:t>4</w:t>
      </w:r>
      <w:r>
        <w:rPr>
          <w:color w:val="767171" w:themeColor="background2" w:themeShade="80"/>
        </w:rPr>
        <w:t>.</w:t>
      </w:r>
      <w:r w:rsidRPr="002821FA">
        <w:rPr>
          <w:color w:val="767171" w:themeColor="background2" w:themeShade="80"/>
        </w:rPr>
        <w:t xml:space="preserve"> </w:t>
      </w:r>
      <w:r>
        <w:rPr>
          <w:color w:val="767171" w:themeColor="background2" w:themeShade="80"/>
        </w:rPr>
        <w:t>BLER</w:t>
      </w:r>
      <w:r w:rsidRPr="002821FA">
        <w:rPr>
          <w:color w:val="767171" w:themeColor="background2" w:themeShade="80"/>
        </w:rPr>
        <w:t xml:space="preserve"> vs SNR (dB) for </w:t>
      </w:r>
      <w:r w:rsidR="00966332">
        <w:rPr>
          <w:color w:val="767171" w:themeColor="background2" w:themeShade="80"/>
        </w:rPr>
        <w:t xml:space="preserve">RV2 and </w:t>
      </w:r>
      <w:r>
        <w:rPr>
          <w:color w:val="767171" w:themeColor="background2" w:themeShade="80"/>
        </w:rPr>
        <w:t>RV3, 1 transmissions, for QPSK, BG</w:t>
      </w:r>
      <w:r w:rsidR="00C80E2D">
        <w:rPr>
          <w:color w:val="767171" w:themeColor="background2" w:themeShade="80"/>
        </w:rPr>
        <w:t>2</w:t>
      </w:r>
      <w:r>
        <w:rPr>
          <w:color w:val="767171" w:themeColor="background2" w:themeShade="80"/>
        </w:rPr>
        <w:t>.</w:t>
      </w:r>
    </w:p>
    <w:p w14:paraId="6CD850A8" w14:textId="337015E3" w:rsidR="005F56FF" w:rsidRDefault="005F56FF" w:rsidP="005F56FF">
      <w:pPr>
        <w:jc w:val="center"/>
      </w:pPr>
      <w:r>
        <w:rPr>
          <w:noProof/>
        </w:rPr>
        <w:drawing>
          <wp:inline distT="0" distB="0" distL="0" distR="0" wp14:anchorId="6E047BA1" wp14:editId="453E4680">
            <wp:extent cx="3557270" cy="271056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tx_RV0_decodability_BG2_BLER_higher_rates.bmp"/>
                    <pic:cNvPicPr/>
                  </pic:nvPicPr>
                  <pic:blipFill rotWithShape="1">
                    <a:blip r:embed="rId22">
                      <a:extLst>
                        <a:ext uri="{28A0092B-C50C-407E-A947-70E740481C1C}">
                          <a14:useLocalDpi xmlns:a14="http://schemas.microsoft.com/office/drawing/2010/main" val="0"/>
                        </a:ext>
                      </a:extLst>
                    </a:blip>
                    <a:srcRect l="3008" t="1444" r="7342" b="322"/>
                    <a:stretch/>
                  </pic:blipFill>
                  <pic:spPr bwMode="auto">
                    <a:xfrm>
                      <a:off x="0" y="0"/>
                      <a:ext cx="3598732" cy="2742158"/>
                    </a:xfrm>
                    <a:prstGeom prst="rect">
                      <a:avLst/>
                    </a:prstGeom>
                    <a:ln>
                      <a:noFill/>
                    </a:ln>
                    <a:extLst>
                      <a:ext uri="{53640926-AAD7-44D8-BBD7-CCE9431645EC}">
                        <a14:shadowObscured xmlns:a14="http://schemas.microsoft.com/office/drawing/2010/main"/>
                      </a:ext>
                    </a:extLst>
                  </pic:spPr>
                </pic:pic>
              </a:graphicData>
            </a:graphic>
          </wp:inline>
        </w:drawing>
      </w:r>
    </w:p>
    <w:p w14:paraId="419B21CF" w14:textId="667D8B62" w:rsidR="005F56FF" w:rsidRDefault="005F56FF" w:rsidP="005F56FF">
      <w:pPr>
        <w:jc w:val="center"/>
        <w:rPr>
          <w:color w:val="767171" w:themeColor="background2" w:themeShade="80"/>
        </w:rPr>
      </w:pPr>
      <w:r w:rsidRPr="002821FA">
        <w:rPr>
          <w:color w:val="767171" w:themeColor="background2" w:themeShade="80"/>
        </w:rPr>
        <w:t>Fig</w:t>
      </w:r>
      <w:r>
        <w:rPr>
          <w:color w:val="767171" w:themeColor="background2" w:themeShade="80"/>
        </w:rPr>
        <w:t xml:space="preserve"> 5.</w:t>
      </w:r>
      <w:r w:rsidRPr="002821FA">
        <w:rPr>
          <w:color w:val="767171" w:themeColor="background2" w:themeShade="80"/>
        </w:rPr>
        <w:t xml:space="preserve"> </w:t>
      </w:r>
      <w:r>
        <w:rPr>
          <w:color w:val="767171" w:themeColor="background2" w:themeShade="80"/>
        </w:rPr>
        <w:t>BLER</w:t>
      </w:r>
      <w:r w:rsidRPr="002821FA">
        <w:rPr>
          <w:color w:val="767171" w:themeColor="background2" w:themeShade="80"/>
        </w:rPr>
        <w:t xml:space="preserve"> vs SNR (dB) for </w:t>
      </w:r>
      <w:r>
        <w:rPr>
          <w:color w:val="767171" w:themeColor="background2" w:themeShade="80"/>
        </w:rPr>
        <w:t>RV0 with higher rates, 1 transmissions, for QPSK, BG2.</w:t>
      </w:r>
    </w:p>
    <w:p w14:paraId="24C32111" w14:textId="77777777" w:rsidR="005F56FF" w:rsidRDefault="005F56FF" w:rsidP="00BC5C1C">
      <w:pPr>
        <w:jc w:val="center"/>
        <w:rPr>
          <w:color w:val="767171" w:themeColor="background2" w:themeShade="80"/>
        </w:rPr>
      </w:pPr>
    </w:p>
    <w:p w14:paraId="4318FA37" w14:textId="77777777" w:rsidR="003B33BE" w:rsidRDefault="003B33BE" w:rsidP="003B33BE">
      <w:pPr>
        <w:jc w:val="both"/>
      </w:pPr>
      <w:r>
        <w:rPr>
          <w:b/>
        </w:rPr>
        <w:t xml:space="preserve">Observation 3: For BG2, HARQ evaluations indicate RV sequences [0231] and [0213] outperform RV sequences [0321] and [0123]. </w:t>
      </w:r>
    </w:p>
    <w:p w14:paraId="3043DDAF" w14:textId="77777777" w:rsidR="003B33BE" w:rsidRDefault="003B33BE" w:rsidP="003B33BE">
      <w:pPr>
        <w:jc w:val="both"/>
        <w:rPr>
          <w:b/>
        </w:rPr>
      </w:pPr>
      <w:r>
        <w:rPr>
          <w:b/>
        </w:rPr>
        <w:t>Observation 4</w:t>
      </w:r>
      <w:r w:rsidRPr="005F320A">
        <w:rPr>
          <w:b/>
        </w:rPr>
        <w:t xml:space="preserve">: </w:t>
      </w:r>
      <w:r>
        <w:rPr>
          <w:b/>
        </w:rPr>
        <w:t xml:space="preserve">Based on the evaluated block size, for BG2, </w:t>
      </w:r>
    </w:p>
    <w:p w14:paraId="369C43EA" w14:textId="77777777" w:rsidR="003B33BE" w:rsidRPr="00135BB3" w:rsidRDefault="003B33BE" w:rsidP="003B33BE">
      <w:pPr>
        <w:pStyle w:val="ListParagraph"/>
        <w:numPr>
          <w:ilvl w:val="0"/>
          <w:numId w:val="16"/>
        </w:numPr>
        <w:jc w:val="both"/>
        <w:rPr>
          <w:rFonts w:asciiTheme="majorBidi" w:hAnsiTheme="majorBidi" w:cstheme="majorBidi"/>
          <w:b/>
          <w:sz w:val="20"/>
          <w:szCs w:val="20"/>
        </w:rPr>
      </w:pPr>
      <w:r w:rsidRPr="00135BB3">
        <w:rPr>
          <w:rFonts w:asciiTheme="majorBidi" w:hAnsiTheme="majorBidi" w:cstheme="majorBidi"/>
          <w:b/>
          <w:sz w:val="20"/>
          <w:szCs w:val="20"/>
        </w:rPr>
        <w:t xml:space="preserve">RV0 is self-decodable for at least rates &lt;= 0.935. </w:t>
      </w:r>
    </w:p>
    <w:p w14:paraId="23E62A79" w14:textId="77777777" w:rsidR="003B33BE" w:rsidRPr="00135BB3" w:rsidRDefault="003B33BE" w:rsidP="003B33BE">
      <w:pPr>
        <w:pStyle w:val="ListParagraph"/>
        <w:numPr>
          <w:ilvl w:val="0"/>
          <w:numId w:val="16"/>
        </w:numPr>
        <w:jc w:val="both"/>
        <w:rPr>
          <w:rFonts w:asciiTheme="majorBidi" w:hAnsiTheme="majorBidi" w:cstheme="majorBidi"/>
          <w:b/>
          <w:sz w:val="20"/>
          <w:szCs w:val="20"/>
        </w:rPr>
      </w:pPr>
      <w:r w:rsidRPr="00135BB3">
        <w:rPr>
          <w:rFonts w:asciiTheme="majorBidi" w:hAnsiTheme="majorBidi" w:cstheme="majorBidi"/>
          <w:b/>
          <w:sz w:val="20"/>
          <w:szCs w:val="20"/>
        </w:rPr>
        <w:t>RV3 is self-decodable for at least rates &lt;= 0.7.</w:t>
      </w:r>
    </w:p>
    <w:p w14:paraId="4FF81BDA" w14:textId="77777777" w:rsidR="003B33BE" w:rsidRPr="00135BB3" w:rsidRDefault="003B33BE" w:rsidP="003B33BE">
      <w:pPr>
        <w:pStyle w:val="ListParagraph"/>
        <w:numPr>
          <w:ilvl w:val="0"/>
          <w:numId w:val="16"/>
        </w:numPr>
        <w:jc w:val="both"/>
        <w:rPr>
          <w:rFonts w:asciiTheme="majorBidi" w:hAnsiTheme="majorBidi" w:cstheme="majorBidi"/>
          <w:sz w:val="20"/>
          <w:szCs w:val="20"/>
        </w:rPr>
      </w:pPr>
      <w:r w:rsidRPr="00135BB3">
        <w:rPr>
          <w:rFonts w:asciiTheme="majorBidi" w:hAnsiTheme="majorBidi" w:cstheme="majorBidi"/>
          <w:b/>
          <w:sz w:val="20"/>
          <w:szCs w:val="20"/>
        </w:rPr>
        <w:t>RV2 is self-decodable for at least rates&lt;=1/3.</w:t>
      </w:r>
    </w:p>
    <w:p w14:paraId="7C51675D" w14:textId="77777777" w:rsidR="003B33BE" w:rsidRDefault="003B33BE" w:rsidP="003B33BE">
      <w:pPr>
        <w:jc w:val="both"/>
        <w:rPr>
          <w:b/>
        </w:rPr>
      </w:pPr>
    </w:p>
    <w:p w14:paraId="59F74D93" w14:textId="77777777" w:rsidR="003B33BE" w:rsidRDefault="003B33BE" w:rsidP="003B33BE">
      <w:pPr>
        <w:jc w:val="both"/>
        <w:rPr>
          <w:b/>
        </w:rPr>
      </w:pPr>
      <w:r w:rsidRPr="005F320A">
        <w:rPr>
          <w:b/>
        </w:rPr>
        <w:t xml:space="preserve">Proposal </w:t>
      </w:r>
      <w:r>
        <w:rPr>
          <w:b/>
        </w:rPr>
        <w:t>1</w:t>
      </w:r>
      <w:r w:rsidRPr="005F320A">
        <w:rPr>
          <w:b/>
        </w:rPr>
        <w:t xml:space="preserve">: </w:t>
      </w:r>
      <w:r>
        <w:rPr>
          <w:b/>
        </w:rPr>
        <w:t>Adopt RV order [0231] for BG1 and BG2</w:t>
      </w:r>
      <w:r w:rsidRPr="0064258B">
        <w:rPr>
          <w:b/>
          <w:lang w:eastAsia="x-none"/>
        </w:rPr>
        <w:t xml:space="preserve"> for any special cases where RV index is not explicitly </w:t>
      </w:r>
      <w:r>
        <w:rPr>
          <w:b/>
          <w:lang w:eastAsia="x-none"/>
        </w:rPr>
        <w:t>signaled and RV sequence is not explicitly indicated</w:t>
      </w:r>
      <w:r>
        <w:rPr>
          <w:b/>
        </w:rPr>
        <w:t>.</w:t>
      </w:r>
    </w:p>
    <w:p w14:paraId="58C18AF6" w14:textId="77777777" w:rsidR="00B34312" w:rsidRDefault="003E2572" w:rsidP="00B34312">
      <w:pPr>
        <w:pStyle w:val="Heading1"/>
        <w:numPr>
          <w:ilvl w:val="0"/>
          <w:numId w:val="1"/>
        </w:numPr>
        <w:ind w:left="360"/>
        <w:jc w:val="both"/>
        <w:textAlignment w:val="auto"/>
        <w:rPr>
          <w:sz w:val="32"/>
        </w:rPr>
      </w:pPr>
      <w:r w:rsidRPr="006B6EBE">
        <w:rPr>
          <w:sz w:val="32"/>
        </w:rPr>
        <w:lastRenderedPageBreak/>
        <w:t xml:space="preserve">Related aspects of RV indication </w:t>
      </w:r>
    </w:p>
    <w:p w14:paraId="13D12230" w14:textId="2C779EDB" w:rsidR="000E306A" w:rsidRPr="008F26D9" w:rsidRDefault="000E306A" w:rsidP="000E306A">
      <w:pPr>
        <w:jc w:val="both"/>
      </w:pPr>
      <w:r>
        <w:rPr>
          <w:lang w:val="en-GB"/>
        </w:rPr>
        <w:t xml:space="preserve">In certain cases (e.g. UL grant free transmission), </w:t>
      </w:r>
      <w:r w:rsidRPr="00BA6490">
        <w:rPr>
          <w:lang w:val="en-GB"/>
        </w:rPr>
        <w:t xml:space="preserve">the </w:t>
      </w:r>
      <w:r>
        <w:rPr>
          <w:lang w:val="en-GB"/>
        </w:rPr>
        <w:t>RV</w:t>
      </w:r>
      <w:r w:rsidRPr="00BA6490">
        <w:rPr>
          <w:lang w:val="en-GB"/>
        </w:rPr>
        <w:t xml:space="preserve"> seq</w:t>
      </w:r>
      <w:r>
        <w:rPr>
          <w:lang w:val="en-GB"/>
        </w:rPr>
        <w:t>uence for packet transmissions and retransmissions may need to</w:t>
      </w:r>
      <w:r w:rsidRPr="00BA6490">
        <w:rPr>
          <w:lang w:val="en-GB"/>
        </w:rPr>
        <w:t xml:space="preserve"> be predefined or</w:t>
      </w:r>
      <w:r>
        <w:rPr>
          <w:lang w:val="en-GB"/>
        </w:rPr>
        <w:t xml:space="preserve"> </w:t>
      </w:r>
      <w:r w:rsidRPr="00BA6490">
        <w:rPr>
          <w:lang w:val="en-GB"/>
        </w:rPr>
        <w:t xml:space="preserve">configured by </w:t>
      </w:r>
      <w:r>
        <w:rPr>
          <w:lang w:val="en-GB"/>
        </w:rPr>
        <w:t xml:space="preserve">the </w:t>
      </w:r>
      <w:r w:rsidRPr="00BA6490">
        <w:rPr>
          <w:lang w:val="en-GB"/>
        </w:rPr>
        <w:t>higher layers</w:t>
      </w:r>
      <w:r>
        <w:rPr>
          <w:lang w:val="en-GB"/>
        </w:rPr>
        <w:t xml:space="preserve">. In particular, </w:t>
      </w:r>
      <w:r>
        <w:t xml:space="preserve">in RAN1 #90, it was agreed that </w:t>
      </w:r>
      <w:r w:rsidRPr="00E842CE">
        <w:rPr>
          <w:rFonts w:eastAsia="Yu Mincho"/>
          <w:lang w:eastAsia="zh-CN"/>
        </w:rPr>
        <w:t>the</w:t>
      </w:r>
      <w:r w:rsidRPr="00E842CE">
        <w:rPr>
          <w:rFonts w:eastAsia="Yu Mincho" w:hint="eastAsia"/>
          <w:lang w:eastAsia="zh-CN"/>
        </w:rPr>
        <w:t xml:space="preserve"> RV </w:t>
      </w:r>
      <w:r w:rsidRPr="00E842CE">
        <w:rPr>
          <w:rFonts w:eastAsia="Yu Mincho"/>
          <w:lang w:eastAsia="zh-CN"/>
        </w:rPr>
        <w:t>determination for K repetitions including the initial transmission</w:t>
      </w:r>
      <w:r>
        <w:rPr>
          <w:rFonts w:eastAsia="Yu Mincho"/>
          <w:lang w:eastAsia="zh-CN"/>
        </w:rPr>
        <w:t xml:space="preserve"> is FFS and possible options include being fixed to a single value or an RV pattern, or being RRC configured to a single value or an RV pattern. For cases such as UL grant-free where higher layers indicated all parameters (e.g. MCS, RA, </w:t>
      </w:r>
      <w:proofErr w:type="spellStart"/>
      <w:r>
        <w:rPr>
          <w:rFonts w:eastAsia="Yu Mincho"/>
          <w:lang w:eastAsia="zh-CN"/>
        </w:rPr>
        <w:t>etc</w:t>
      </w:r>
      <w:proofErr w:type="spellEnd"/>
      <w:r>
        <w:rPr>
          <w:rFonts w:eastAsia="Yu Mincho"/>
          <w:lang w:eastAsia="zh-CN"/>
        </w:rPr>
        <w:t xml:space="preserve">), the RV sequence could also be explicitly indicated by higher layers (with default RV sequence order of 0 2 3 1). </w:t>
      </w:r>
    </w:p>
    <w:p w14:paraId="5662255E" w14:textId="04EBA18D" w:rsidR="000E306A" w:rsidRPr="000E306A" w:rsidRDefault="000E306A" w:rsidP="000E306A">
      <w:pPr>
        <w:jc w:val="both"/>
        <w:rPr>
          <w:b/>
          <w:u w:val="single"/>
        </w:rPr>
      </w:pPr>
      <w:r w:rsidRPr="000E306A">
        <w:rPr>
          <w:b/>
          <w:u w:val="single"/>
        </w:rPr>
        <w:t>Benefits of using RV0 for 1</w:t>
      </w:r>
      <w:r w:rsidRPr="000E306A">
        <w:rPr>
          <w:b/>
          <w:u w:val="single"/>
          <w:vertAlign w:val="superscript"/>
        </w:rPr>
        <w:t>st</w:t>
      </w:r>
      <w:r w:rsidRPr="000E306A">
        <w:rPr>
          <w:b/>
          <w:u w:val="single"/>
        </w:rPr>
        <w:t xml:space="preserve"> transmission</w:t>
      </w:r>
    </w:p>
    <w:p w14:paraId="0836B63D" w14:textId="6E15632A" w:rsidR="000E306A" w:rsidRDefault="000E306A" w:rsidP="000E306A">
      <w:pPr>
        <w:jc w:val="both"/>
      </w:pPr>
      <w:r>
        <w:t xml:space="preserve">Generally, RV0 is still the best choice for the first transmission (though at lower rates, all RVs may have similar performance)– so RV0 can be used (or fixed) for transmitting data such as paging, system information transmission, that are either used for 1-shot transmission or generally coded down to lower code rates. For SI transmission requiring soft-combining an implicit RV cycling could be applied. In such cases, implicit RV indicator (or RV sequence indicator) allows for reduced DCI overhead and improved PDCCH performance – this can be helpful for e.g. messages transmitted in common search space. If an explicit RV indicator (RV sequence indicator) is present in the DCI, then the </w:t>
      </w:r>
      <w:proofErr w:type="spellStart"/>
      <w:r>
        <w:t>gNB</w:t>
      </w:r>
      <w:proofErr w:type="spellEnd"/>
      <w:r>
        <w:t xml:space="preserve"> scheduler can indicate the RV in corresponding DCI. </w:t>
      </w:r>
    </w:p>
    <w:p w14:paraId="7E3689BF" w14:textId="2B29F07F" w:rsidR="00EB09F4" w:rsidRDefault="00EB09F4" w:rsidP="00EB09F4">
      <w:pPr>
        <w:jc w:val="both"/>
        <w:rPr>
          <w:b/>
        </w:rPr>
      </w:pPr>
      <w:r w:rsidRPr="005F320A">
        <w:rPr>
          <w:b/>
        </w:rPr>
        <w:t xml:space="preserve">Proposal </w:t>
      </w:r>
      <w:r w:rsidR="00AA553D">
        <w:rPr>
          <w:b/>
        </w:rPr>
        <w:t>2</w:t>
      </w:r>
      <w:r w:rsidRPr="005F320A">
        <w:rPr>
          <w:b/>
        </w:rPr>
        <w:t xml:space="preserve">: </w:t>
      </w:r>
      <w:r>
        <w:rPr>
          <w:b/>
        </w:rPr>
        <w:t xml:space="preserve">If a single </w:t>
      </w:r>
      <w:r w:rsidR="00AA553D">
        <w:rPr>
          <w:b/>
        </w:rPr>
        <w:t xml:space="preserve">fixed </w:t>
      </w:r>
      <w:r>
        <w:rPr>
          <w:b/>
        </w:rPr>
        <w:t xml:space="preserve">value for RV is needed </w:t>
      </w:r>
      <w:r w:rsidRPr="009563AB">
        <w:rPr>
          <w:b/>
          <w:lang w:eastAsia="x-none"/>
        </w:rPr>
        <w:t xml:space="preserve">for any special cases where RV index is not explicitly </w:t>
      </w:r>
      <w:r>
        <w:rPr>
          <w:b/>
          <w:lang w:eastAsia="x-none"/>
        </w:rPr>
        <w:t>signaled</w:t>
      </w:r>
      <w:r>
        <w:rPr>
          <w:b/>
        </w:rPr>
        <w:t>, adopt RV 0 for BG1 and BG2.</w:t>
      </w:r>
    </w:p>
    <w:p w14:paraId="0E407B5E" w14:textId="10AC7F1B" w:rsidR="000E306A" w:rsidRDefault="00EB09F4" w:rsidP="0064258B">
      <w:pPr>
        <w:spacing w:before="240"/>
        <w:jc w:val="both"/>
      </w:pPr>
      <w:r>
        <w:t>As discussed in the previous sections, HARQ retransmission performance when using the RV sequence [0231], shows up to ~1.8dB (depending on the code-rate) gain compared to RV sequence [0321], for BG1, and up to ~1dB gain for BG2.</w:t>
      </w:r>
      <w:r w:rsidR="00AA553D">
        <w:t xml:space="preserve"> Also, as discussed in previous sections, </w:t>
      </w:r>
      <w:r w:rsidRPr="000E306A">
        <w:t>RV3 attains self-</w:t>
      </w:r>
      <w:proofErr w:type="spellStart"/>
      <w:r w:rsidRPr="000E306A">
        <w:t>decodability</w:t>
      </w:r>
      <w:proofErr w:type="spellEnd"/>
      <w:r w:rsidRPr="000E306A">
        <w:t xml:space="preserve"> for a wider range of code-rates</w:t>
      </w:r>
      <w:r w:rsidR="00AA553D">
        <w:t xml:space="preserve"> (relative to RV2)</w:t>
      </w:r>
      <w:r w:rsidRPr="000E306A">
        <w:t xml:space="preserve">. Consequently, there may still be cases where RV sequence [0321] achieves better </w:t>
      </w:r>
      <w:r w:rsidR="00AA553D" w:rsidRPr="000E306A">
        <w:t xml:space="preserve">performance </w:t>
      </w:r>
      <w:r w:rsidR="00AA553D">
        <w:t xml:space="preserve">and we think such RV sequence could be handled via higher layer signaling. </w:t>
      </w:r>
    </w:p>
    <w:p w14:paraId="19EFD1DE" w14:textId="77777777" w:rsidR="008475B0" w:rsidRPr="000349E0" w:rsidRDefault="008475B0" w:rsidP="00807FDA">
      <w:pPr>
        <w:pStyle w:val="Heading1"/>
        <w:numPr>
          <w:ilvl w:val="0"/>
          <w:numId w:val="1"/>
        </w:numPr>
        <w:ind w:left="360"/>
        <w:jc w:val="both"/>
        <w:textAlignment w:val="auto"/>
        <w:rPr>
          <w:sz w:val="32"/>
        </w:rPr>
      </w:pPr>
      <w:r w:rsidRPr="000349E0">
        <w:rPr>
          <w:sz w:val="32"/>
        </w:rPr>
        <w:t>Summary</w:t>
      </w:r>
    </w:p>
    <w:p w14:paraId="2052E13B" w14:textId="5DBE9D3F" w:rsidR="008475B0" w:rsidRDefault="008475B0" w:rsidP="00265A39">
      <w:pPr>
        <w:spacing w:before="240"/>
        <w:jc w:val="both"/>
        <w:rPr>
          <w:lang w:val="en-GB"/>
        </w:rPr>
      </w:pPr>
      <w:r w:rsidRPr="0041111E">
        <w:rPr>
          <w:lang w:val="en-GB"/>
        </w:rPr>
        <w:t xml:space="preserve">This document presented our views </w:t>
      </w:r>
      <w:r w:rsidR="00265A39">
        <w:t>on</w:t>
      </w:r>
      <w:r w:rsidR="00265A39" w:rsidRPr="0041111E">
        <w:t xml:space="preserve"> </w:t>
      </w:r>
      <w:r w:rsidR="00265A39">
        <w:rPr>
          <w:rFonts w:eastAsia="MS Mincho"/>
          <w:lang w:eastAsia="ja-JP"/>
        </w:rPr>
        <w:t>RV order for special cases where RV index is not explicitly signaled</w:t>
      </w:r>
      <w:r w:rsidR="00265A39">
        <w:rPr>
          <w:lang w:val="en-GB"/>
        </w:rPr>
        <w:t>, and also self-</w:t>
      </w:r>
      <w:proofErr w:type="spellStart"/>
      <w:r w:rsidR="00265A39">
        <w:rPr>
          <w:lang w:val="en-GB"/>
        </w:rPr>
        <w:t>decodability</w:t>
      </w:r>
      <w:proofErr w:type="spellEnd"/>
      <w:r w:rsidR="00265A39">
        <w:rPr>
          <w:lang w:val="en-GB"/>
        </w:rPr>
        <w:t xml:space="preserve"> of different RVs with BG1 and BG2.</w:t>
      </w:r>
    </w:p>
    <w:p w14:paraId="06E5BE11" w14:textId="77777777" w:rsidR="00B94725" w:rsidRDefault="00135BB3" w:rsidP="00135BB3">
      <w:pPr>
        <w:jc w:val="both"/>
        <w:rPr>
          <w:b/>
        </w:rPr>
      </w:pPr>
      <w:r>
        <w:rPr>
          <w:b/>
        </w:rPr>
        <w:t>Observation 1</w:t>
      </w:r>
      <w:r w:rsidRPr="005F320A">
        <w:rPr>
          <w:b/>
        </w:rPr>
        <w:t xml:space="preserve">: </w:t>
      </w:r>
      <w:r>
        <w:rPr>
          <w:b/>
        </w:rPr>
        <w:t xml:space="preserve">Based on the evaluated block size, </w:t>
      </w:r>
      <w:r w:rsidR="00B94725">
        <w:rPr>
          <w:b/>
        </w:rPr>
        <w:t>for BG1,</w:t>
      </w:r>
    </w:p>
    <w:p w14:paraId="576077E3" w14:textId="7AED6E11" w:rsidR="00135BB3" w:rsidRPr="00B94725" w:rsidRDefault="00135BB3" w:rsidP="00B94725">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w:t>
      </w:r>
      <w:r w:rsidR="00B94725" w:rsidRPr="00B94725">
        <w:rPr>
          <w:rFonts w:asciiTheme="majorBidi" w:hAnsiTheme="majorBidi" w:cstheme="majorBidi"/>
          <w:b/>
          <w:sz w:val="20"/>
          <w:szCs w:val="20"/>
        </w:rPr>
        <w:t>0</w:t>
      </w:r>
      <w:r w:rsidRPr="00B94725">
        <w:rPr>
          <w:rFonts w:asciiTheme="majorBidi" w:hAnsiTheme="majorBidi" w:cstheme="majorBidi"/>
          <w:b/>
          <w:sz w:val="20"/>
          <w:szCs w:val="20"/>
        </w:rPr>
        <w:t xml:space="preserve"> is self-decodable for </w:t>
      </w:r>
      <w:r w:rsidR="00B94725" w:rsidRPr="00B94725">
        <w:rPr>
          <w:rFonts w:asciiTheme="majorBidi" w:hAnsiTheme="majorBidi" w:cstheme="majorBidi"/>
          <w:b/>
          <w:sz w:val="20"/>
          <w:szCs w:val="20"/>
        </w:rPr>
        <w:t xml:space="preserve">at least </w:t>
      </w:r>
      <w:r w:rsidRPr="00B94725">
        <w:rPr>
          <w:rFonts w:asciiTheme="majorBidi" w:hAnsiTheme="majorBidi" w:cstheme="majorBidi"/>
          <w:b/>
          <w:sz w:val="20"/>
          <w:szCs w:val="20"/>
        </w:rPr>
        <w:t xml:space="preserve">rates </w:t>
      </w:r>
      <w:r w:rsidR="00B94725" w:rsidRPr="00B94725">
        <w:rPr>
          <w:rFonts w:asciiTheme="majorBidi" w:hAnsiTheme="majorBidi" w:cstheme="majorBidi"/>
          <w:b/>
          <w:sz w:val="20"/>
          <w:szCs w:val="20"/>
        </w:rPr>
        <w:t>0.9</w:t>
      </w:r>
      <w:r w:rsidRPr="00B94725">
        <w:rPr>
          <w:rFonts w:asciiTheme="majorBidi" w:hAnsiTheme="majorBidi" w:cstheme="majorBidi"/>
          <w:b/>
          <w:sz w:val="20"/>
          <w:szCs w:val="20"/>
        </w:rPr>
        <w:t xml:space="preserve">5 </w:t>
      </w:r>
      <w:r w:rsidR="00B94725" w:rsidRPr="00B94725">
        <w:rPr>
          <w:rFonts w:asciiTheme="majorBidi" w:hAnsiTheme="majorBidi" w:cstheme="majorBidi"/>
          <w:b/>
          <w:sz w:val="20"/>
          <w:szCs w:val="20"/>
        </w:rPr>
        <w:t>and lower.</w:t>
      </w:r>
    </w:p>
    <w:p w14:paraId="65CABAAF" w14:textId="2D68B693" w:rsidR="00B94725" w:rsidRDefault="00B94725" w:rsidP="00B94725">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RV3 is self-decodable for rates lower than 0.935 and at least not self-decodable for rates 0.935 and higher.</w:t>
      </w:r>
    </w:p>
    <w:p w14:paraId="08996E52" w14:textId="23D78A01" w:rsidR="00594D75" w:rsidRPr="00B94725" w:rsidRDefault="00594D75" w:rsidP="00594D75">
      <w:pPr>
        <w:pStyle w:val="ListParagraph"/>
        <w:numPr>
          <w:ilvl w:val="0"/>
          <w:numId w:val="16"/>
        </w:numPr>
        <w:jc w:val="both"/>
        <w:rPr>
          <w:rFonts w:asciiTheme="majorBidi" w:hAnsiTheme="majorBidi" w:cstheme="majorBidi"/>
          <w:b/>
          <w:sz w:val="20"/>
          <w:szCs w:val="20"/>
        </w:rPr>
      </w:pPr>
      <w:r w:rsidRPr="00B94725">
        <w:rPr>
          <w:rFonts w:asciiTheme="majorBidi" w:hAnsiTheme="majorBidi" w:cstheme="majorBidi"/>
          <w:b/>
          <w:sz w:val="20"/>
          <w:szCs w:val="20"/>
        </w:rPr>
        <w:t>RV</w:t>
      </w:r>
      <w:r>
        <w:rPr>
          <w:rFonts w:asciiTheme="majorBidi" w:hAnsiTheme="majorBidi" w:cstheme="majorBidi"/>
          <w:b/>
          <w:sz w:val="20"/>
          <w:szCs w:val="20"/>
        </w:rPr>
        <w:t>2</w:t>
      </w:r>
      <w:r w:rsidRPr="00B94725">
        <w:rPr>
          <w:rFonts w:asciiTheme="majorBidi" w:hAnsiTheme="majorBidi" w:cstheme="majorBidi"/>
          <w:b/>
          <w:sz w:val="20"/>
          <w:szCs w:val="20"/>
        </w:rPr>
        <w:t xml:space="preserve"> is self-dec</w:t>
      </w:r>
      <w:r>
        <w:rPr>
          <w:rFonts w:asciiTheme="majorBidi" w:hAnsiTheme="majorBidi" w:cstheme="majorBidi"/>
          <w:b/>
          <w:sz w:val="20"/>
          <w:szCs w:val="20"/>
        </w:rPr>
        <w:t>odable for rates lower than 0.</w:t>
      </w:r>
      <w:r w:rsidRPr="00B94725">
        <w:rPr>
          <w:rFonts w:asciiTheme="majorBidi" w:hAnsiTheme="majorBidi" w:cstheme="majorBidi"/>
          <w:b/>
          <w:sz w:val="20"/>
          <w:szCs w:val="20"/>
        </w:rPr>
        <w:t>5 and at least not self-decodable for rates 0.</w:t>
      </w:r>
      <w:r>
        <w:rPr>
          <w:rFonts w:asciiTheme="majorBidi" w:hAnsiTheme="majorBidi" w:cstheme="majorBidi"/>
          <w:b/>
          <w:sz w:val="20"/>
          <w:szCs w:val="20"/>
        </w:rPr>
        <w:t>667</w:t>
      </w:r>
      <w:r w:rsidRPr="00B94725">
        <w:rPr>
          <w:rFonts w:asciiTheme="majorBidi" w:hAnsiTheme="majorBidi" w:cstheme="majorBidi"/>
          <w:b/>
          <w:sz w:val="20"/>
          <w:szCs w:val="20"/>
        </w:rPr>
        <w:t xml:space="preserve"> and higher.</w:t>
      </w:r>
    </w:p>
    <w:p w14:paraId="5C37D436" w14:textId="77777777" w:rsidR="00B94725" w:rsidRDefault="00B94725" w:rsidP="00135BB3">
      <w:pPr>
        <w:jc w:val="both"/>
        <w:rPr>
          <w:b/>
        </w:rPr>
      </w:pPr>
    </w:p>
    <w:p w14:paraId="2AE435EE" w14:textId="77777777" w:rsidR="00135BB3" w:rsidRDefault="00135BB3" w:rsidP="00135BB3">
      <w:pPr>
        <w:jc w:val="both"/>
      </w:pPr>
      <w:r>
        <w:rPr>
          <w:b/>
        </w:rPr>
        <w:t xml:space="preserve">Observation 2: For BG1, HARQ evaluations indicate RV sequences [0231] and [0213] outperform RV sequences [0321] and [0123]. </w:t>
      </w:r>
    </w:p>
    <w:p w14:paraId="30FA0C74" w14:textId="77777777" w:rsidR="00F04B0F" w:rsidRDefault="00F04B0F" w:rsidP="00F04B0F">
      <w:pPr>
        <w:jc w:val="both"/>
      </w:pPr>
      <w:r>
        <w:rPr>
          <w:b/>
        </w:rPr>
        <w:t xml:space="preserve">Observation 3: For BG2, HARQ evaluations indicate RV sequences [0231] and [0213] outperform RV sequences [0321] and [0123]. </w:t>
      </w:r>
    </w:p>
    <w:p w14:paraId="03BC9C68" w14:textId="77777777" w:rsidR="00F04B0F" w:rsidRDefault="00F04B0F" w:rsidP="00F04B0F">
      <w:pPr>
        <w:jc w:val="both"/>
        <w:rPr>
          <w:b/>
        </w:rPr>
      </w:pPr>
      <w:r>
        <w:rPr>
          <w:b/>
        </w:rPr>
        <w:t>Observation 4</w:t>
      </w:r>
      <w:r w:rsidRPr="005F320A">
        <w:rPr>
          <w:b/>
        </w:rPr>
        <w:t xml:space="preserve">: </w:t>
      </w:r>
      <w:r>
        <w:rPr>
          <w:b/>
        </w:rPr>
        <w:t xml:space="preserve">Based on the evaluated block size, for BG2, </w:t>
      </w:r>
    </w:p>
    <w:p w14:paraId="75C8E239" w14:textId="77777777" w:rsidR="00F04B0F" w:rsidRPr="00135BB3" w:rsidRDefault="00F04B0F" w:rsidP="00F04B0F">
      <w:pPr>
        <w:pStyle w:val="ListParagraph"/>
        <w:numPr>
          <w:ilvl w:val="0"/>
          <w:numId w:val="16"/>
        </w:numPr>
        <w:jc w:val="both"/>
        <w:rPr>
          <w:rFonts w:asciiTheme="majorBidi" w:hAnsiTheme="majorBidi" w:cstheme="majorBidi"/>
          <w:b/>
          <w:sz w:val="20"/>
          <w:szCs w:val="20"/>
        </w:rPr>
      </w:pPr>
      <w:r w:rsidRPr="00135BB3">
        <w:rPr>
          <w:rFonts w:asciiTheme="majorBidi" w:hAnsiTheme="majorBidi" w:cstheme="majorBidi"/>
          <w:b/>
          <w:sz w:val="20"/>
          <w:szCs w:val="20"/>
        </w:rPr>
        <w:t xml:space="preserve">RV0 is self-decodable for at least rates &lt;= 0.935. </w:t>
      </w:r>
    </w:p>
    <w:p w14:paraId="369B9780" w14:textId="77777777" w:rsidR="00F04B0F" w:rsidRPr="00135BB3" w:rsidRDefault="00F04B0F" w:rsidP="00F04B0F">
      <w:pPr>
        <w:pStyle w:val="ListParagraph"/>
        <w:numPr>
          <w:ilvl w:val="0"/>
          <w:numId w:val="16"/>
        </w:numPr>
        <w:jc w:val="both"/>
        <w:rPr>
          <w:rFonts w:asciiTheme="majorBidi" w:hAnsiTheme="majorBidi" w:cstheme="majorBidi"/>
          <w:b/>
          <w:sz w:val="20"/>
          <w:szCs w:val="20"/>
        </w:rPr>
      </w:pPr>
      <w:r w:rsidRPr="00135BB3">
        <w:rPr>
          <w:rFonts w:asciiTheme="majorBidi" w:hAnsiTheme="majorBidi" w:cstheme="majorBidi"/>
          <w:b/>
          <w:sz w:val="20"/>
          <w:szCs w:val="20"/>
        </w:rPr>
        <w:t>RV3 is self-decodable for at least rates &lt;= 0.7.</w:t>
      </w:r>
    </w:p>
    <w:p w14:paraId="0A0FC778" w14:textId="77777777" w:rsidR="00F04B0F" w:rsidRPr="00135BB3" w:rsidRDefault="00F04B0F" w:rsidP="00F04B0F">
      <w:pPr>
        <w:pStyle w:val="ListParagraph"/>
        <w:numPr>
          <w:ilvl w:val="0"/>
          <w:numId w:val="16"/>
        </w:numPr>
        <w:jc w:val="both"/>
        <w:rPr>
          <w:rFonts w:asciiTheme="majorBidi" w:hAnsiTheme="majorBidi" w:cstheme="majorBidi"/>
          <w:sz w:val="20"/>
          <w:szCs w:val="20"/>
        </w:rPr>
      </w:pPr>
      <w:r w:rsidRPr="00135BB3">
        <w:rPr>
          <w:rFonts w:asciiTheme="majorBidi" w:hAnsiTheme="majorBidi" w:cstheme="majorBidi"/>
          <w:b/>
          <w:sz w:val="20"/>
          <w:szCs w:val="20"/>
        </w:rPr>
        <w:t>RV2 is self-decodable for at least rates&lt;=1/3.</w:t>
      </w:r>
    </w:p>
    <w:p w14:paraId="1A640264" w14:textId="77777777" w:rsidR="00F04B0F" w:rsidRDefault="00F04B0F" w:rsidP="00F04B0F">
      <w:pPr>
        <w:jc w:val="both"/>
        <w:rPr>
          <w:b/>
        </w:rPr>
      </w:pPr>
    </w:p>
    <w:p w14:paraId="09BC67DC" w14:textId="77777777" w:rsidR="00F04B0F" w:rsidRDefault="00F04B0F" w:rsidP="00F04B0F">
      <w:pPr>
        <w:jc w:val="both"/>
        <w:rPr>
          <w:b/>
        </w:rPr>
      </w:pPr>
      <w:r w:rsidRPr="005F320A">
        <w:rPr>
          <w:b/>
        </w:rPr>
        <w:t xml:space="preserve">Proposal </w:t>
      </w:r>
      <w:r>
        <w:rPr>
          <w:b/>
        </w:rPr>
        <w:t>1</w:t>
      </w:r>
      <w:r w:rsidRPr="005F320A">
        <w:rPr>
          <w:b/>
        </w:rPr>
        <w:t xml:space="preserve">: </w:t>
      </w:r>
      <w:r>
        <w:rPr>
          <w:b/>
        </w:rPr>
        <w:t>Adopt RV order [0231] for BG1 and BG2</w:t>
      </w:r>
      <w:r w:rsidRPr="0064258B">
        <w:rPr>
          <w:b/>
          <w:lang w:eastAsia="x-none"/>
        </w:rPr>
        <w:t xml:space="preserve"> for any special cases where RV index is not explicitly </w:t>
      </w:r>
      <w:r>
        <w:rPr>
          <w:b/>
          <w:lang w:eastAsia="x-none"/>
        </w:rPr>
        <w:t>signaled and RV sequence is not explicitly indicated</w:t>
      </w:r>
      <w:r>
        <w:rPr>
          <w:b/>
        </w:rPr>
        <w:t>.</w:t>
      </w:r>
    </w:p>
    <w:p w14:paraId="39CA71BE" w14:textId="77777777" w:rsidR="0064258B" w:rsidRDefault="0064258B" w:rsidP="0064258B">
      <w:pPr>
        <w:jc w:val="both"/>
        <w:rPr>
          <w:b/>
        </w:rPr>
      </w:pPr>
      <w:r w:rsidRPr="005F320A">
        <w:rPr>
          <w:b/>
        </w:rPr>
        <w:lastRenderedPageBreak/>
        <w:t xml:space="preserve">Proposal </w:t>
      </w:r>
      <w:r>
        <w:rPr>
          <w:b/>
        </w:rPr>
        <w:t>2</w:t>
      </w:r>
      <w:r w:rsidRPr="005F320A">
        <w:rPr>
          <w:b/>
        </w:rPr>
        <w:t xml:space="preserve">: </w:t>
      </w:r>
      <w:r>
        <w:rPr>
          <w:b/>
        </w:rPr>
        <w:t xml:space="preserve">If a single fixed value for RV is needed </w:t>
      </w:r>
      <w:r w:rsidRPr="009563AB">
        <w:rPr>
          <w:b/>
          <w:lang w:eastAsia="x-none"/>
        </w:rPr>
        <w:t xml:space="preserve">for any special cases where RV index is not explicitly </w:t>
      </w:r>
      <w:r>
        <w:rPr>
          <w:b/>
          <w:lang w:eastAsia="x-none"/>
        </w:rPr>
        <w:t>signaled</w:t>
      </w:r>
      <w:r>
        <w:rPr>
          <w:b/>
        </w:rPr>
        <w:t>, adopt RV 0 for BG1 and BG2.</w:t>
      </w:r>
    </w:p>
    <w:p w14:paraId="16A590B0" w14:textId="77777777" w:rsidR="008475B0" w:rsidRPr="00D37FC5" w:rsidRDefault="008475B0" w:rsidP="00807FDA">
      <w:pPr>
        <w:pStyle w:val="Heading1"/>
        <w:numPr>
          <w:ilvl w:val="0"/>
          <w:numId w:val="1"/>
        </w:numPr>
        <w:ind w:left="360"/>
        <w:jc w:val="both"/>
        <w:textAlignment w:val="auto"/>
        <w:rPr>
          <w:sz w:val="32"/>
        </w:rPr>
      </w:pPr>
      <w:r w:rsidRPr="00D37FC5">
        <w:rPr>
          <w:sz w:val="32"/>
        </w:rPr>
        <w:t>References</w:t>
      </w:r>
    </w:p>
    <w:p w14:paraId="68AC6AAE" w14:textId="1C87901D" w:rsidR="008475B0" w:rsidRDefault="008475B0" w:rsidP="00112FF0">
      <w:pPr>
        <w:spacing w:after="0"/>
        <w:jc w:val="both"/>
        <w:rPr>
          <w:rFonts w:eastAsia="MS Mincho"/>
          <w:iCs/>
          <w:lang w:eastAsia="ja-JP"/>
        </w:rPr>
      </w:pPr>
      <w:r>
        <w:rPr>
          <w:rFonts w:eastAsia="MS Mincho"/>
          <w:lang w:eastAsia="ja-JP"/>
        </w:rPr>
        <w:t>[1</w:t>
      </w:r>
      <w:r w:rsidRPr="002E3CCB">
        <w:rPr>
          <w:rFonts w:eastAsia="MS Mincho"/>
          <w:iCs/>
          <w:lang w:eastAsia="ja-JP"/>
        </w:rPr>
        <w:t xml:space="preserve">] </w:t>
      </w:r>
      <w:r w:rsidR="00112FF0" w:rsidRPr="00112FF0">
        <w:rPr>
          <w:rFonts w:eastAsia="MS Mincho"/>
          <w:iCs/>
          <w:lang w:eastAsia="ja-JP"/>
        </w:rPr>
        <w:t>R1- 1716329</w:t>
      </w:r>
      <w:r w:rsidR="002E3CCB" w:rsidRPr="00C42652">
        <w:rPr>
          <w:rFonts w:eastAsia="MS Mincho"/>
          <w:iCs/>
          <w:lang w:eastAsia="ja-JP"/>
        </w:rPr>
        <w:tab/>
      </w:r>
      <w:r w:rsidR="00112FF0" w:rsidRPr="00112FF0">
        <w:rPr>
          <w:rFonts w:eastAsia="MS Mincho"/>
          <w:iCs/>
          <w:lang w:eastAsia="ja-JP"/>
        </w:rPr>
        <w:t>Finalization of remaining details of rate-matching</w:t>
      </w:r>
      <w:r w:rsidR="002E3CCB" w:rsidRPr="00C42652">
        <w:rPr>
          <w:rFonts w:eastAsia="MS Mincho"/>
          <w:iCs/>
          <w:lang w:eastAsia="ja-JP"/>
        </w:rPr>
        <w:tab/>
      </w:r>
      <w:bookmarkStart w:id="2" w:name="OLE_LINK2"/>
      <w:bookmarkStart w:id="3" w:name="OLE_LINK1"/>
      <w:r w:rsidR="00112FF0">
        <w:rPr>
          <w:rFonts w:eastAsia="MS Mincho"/>
          <w:iCs/>
          <w:lang w:eastAsia="ja-JP"/>
        </w:rPr>
        <w:t>Intel Corporation, NR AH#3 Sept 2017</w:t>
      </w:r>
      <w:bookmarkEnd w:id="2"/>
      <w:bookmarkEnd w:id="3"/>
    </w:p>
    <w:p w14:paraId="42B290A4" w14:textId="77777777" w:rsidR="0030551F" w:rsidRDefault="0030551F" w:rsidP="0030551F">
      <w:pPr>
        <w:jc w:val="both"/>
        <w:rPr>
          <w:lang w:val="en-GB"/>
        </w:rPr>
      </w:pPr>
    </w:p>
    <w:p w14:paraId="5763CC7A" w14:textId="77777777" w:rsidR="0030551F" w:rsidRDefault="0030551F" w:rsidP="0030551F">
      <w:pPr>
        <w:pStyle w:val="Heading1"/>
        <w:numPr>
          <w:ilvl w:val="0"/>
          <w:numId w:val="1"/>
        </w:numPr>
        <w:ind w:left="360"/>
        <w:jc w:val="both"/>
        <w:textAlignment w:val="auto"/>
        <w:rPr>
          <w:sz w:val="32"/>
        </w:rPr>
      </w:pPr>
      <w:r w:rsidRPr="00AD1F7D">
        <w:rPr>
          <w:sz w:val="32"/>
        </w:rPr>
        <w:t>Annex</w:t>
      </w:r>
    </w:p>
    <w:p w14:paraId="34EDB0A7" w14:textId="77777777" w:rsidR="009E2FCE" w:rsidRDefault="009E2FCE" w:rsidP="009E2FCE">
      <w:pPr>
        <w:jc w:val="both"/>
      </w:pPr>
      <w:r>
        <w:t xml:space="preserve">In RAN1 AH #3, the following observations and agreement were made with respect to the rate-matching. </w:t>
      </w:r>
    </w:p>
    <w:p w14:paraId="1D9EC186" w14:textId="77777777" w:rsidR="009E2FCE" w:rsidRPr="007972E6" w:rsidRDefault="009E2FCE" w:rsidP="009E2FCE">
      <w:pPr>
        <w:rPr>
          <w:b/>
          <w:u w:val="single"/>
          <w:lang w:eastAsia="x-none"/>
        </w:rPr>
      </w:pPr>
      <w:r>
        <w:rPr>
          <w:b/>
          <w:u w:val="single"/>
          <w:lang w:eastAsia="x-none"/>
        </w:rPr>
        <w:t>Observations:</w:t>
      </w:r>
    </w:p>
    <w:p w14:paraId="6E72F6C3" w14:textId="77777777" w:rsidR="009E2FCE" w:rsidRDefault="009E2FCE" w:rsidP="009E2FCE">
      <w:pPr>
        <w:numPr>
          <w:ilvl w:val="0"/>
          <w:numId w:val="13"/>
        </w:numPr>
        <w:overflowPunct/>
        <w:autoSpaceDE/>
        <w:autoSpaceDN/>
        <w:adjustRightInd/>
        <w:spacing w:after="0"/>
        <w:textAlignment w:val="auto"/>
        <w:rPr>
          <w:lang w:eastAsia="x-none"/>
        </w:rPr>
      </w:pPr>
      <w:r>
        <w:rPr>
          <w:lang w:eastAsia="x-none"/>
        </w:rPr>
        <w:t>Some small gains are seen in some cases for non-uniform starting positions</w:t>
      </w:r>
    </w:p>
    <w:p w14:paraId="4B7182D0" w14:textId="77777777" w:rsidR="009E2FCE" w:rsidRDefault="009E2FCE" w:rsidP="009E2FCE">
      <w:pPr>
        <w:numPr>
          <w:ilvl w:val="0"/>
          <w:numId w:val="13"/>
        </w:numPr>
        <w:overflowPunct/>
        <w:autoSpaceDE/>
        <w:autoSpaceDN/>
        <w:adjustRightInd/>
        <w:spacing w:after="0"/>
        <w:textAlignment w:val="auto"/>
        <w:rPr>
          <w:lang w:eastAsia="x-none"/>
        </w:rPr>
      </w:pPr>
      <w:r>
        <w:rPr>
          <w:lang w:eastAsia="x-none"/>
        </w:rPr>
        <w:t>But many companies propose uniform starting positions as a “safe choice”</w:t>
      </w:r>
    </w:p>
    <w:p w14:paraId="5CB435A9" w14:textId="77777777" w:rsidR="009E2FCE" w:rsidRDefault="009E2FCE" w:rsidP="009E2FCE">
      <w:pPr>
        <w:numPr>
          <w:ilvl w:val="0"/>
          <w:numId w:val="13"/>
        </w:numPr>
        <w:overflowPunct/>
        <w:autoSpaceDE/>
        <w:autoSpaceDN/>
        <w:adjustRightInd/>
        <w:spacing w:after="0"/>
        <w:textAlignment w:val="auto"/>
        <w:rPr>
          <w:lang w:eastAsia="x-none"/>
        </w:rPr>
      </w:pPr>
      <w:r>
        <w:rPr>
          <w:lang w:eastAsia="x-none"/>
        </w:rPr>
        <w:t>Some advantages have been mentioned for having another self-decodable RV available at all code rates</w:t>
      </w:r>
    </w:p>
    <w:p w14:paraId="087B74E8" w14:textId="77777777" w:rsidR="009E2FCE" w:rsidRDefault="009E2FCE" w:rsidP="009E2FCE">
      <w:pPr>
        <w:numPr>
          <w:ilvl w:val="1"/>
          <w:numId w:val="13"/>
        </w:numPr>
        <w:overflowPunct/>
        <w:autoSpaceDE/>
        <w:autoSpaceDN/>
        <w:adjustRightInd/>
        <w:spacing w:after="0"/>
        <w:textAlignment w:val="auto"/>
        <w:rPr>
          <w:lang w:eastAsia="x-none"/>
        </w:rPr>
      </w:pPr>
      <w:r>
        <w:rPr>
          <w:lang w:eastAsia="x-none"/>
        </w:rPr>
        <w:t>Bit reordering proposal has additional complexity associated with it</w:t>
      </w:r>
    </w:p>
    <w:p w14:paraId="034099F6" w14:textId="77777777" w:rsidR="009E2FCE" w:rsidRDefault="009E2FCE" w:rsidP="009E2FCE">
      <w:pPr>
        <w:rPr>
          <w:lang w:eastAsia="x-none"/>
        </w:rPr>
      </w:pPr>
    </w:p>
    <w:p w14:paraId="605F3640" w14:textId="77777777" w:rsidR="009E2FCE" w:rsidRPr="008801E6" w:rsidRDefault="009E2FCE" w:rsidP="009E2FCE">
      <w:pPr>
        <w:rPr>
          <w:b/>
          <w:u w:val="single"/>
          <w:lang w:eastAsia="x-none"/>
        </w:rPr>
      </w:pPr>
      <w:r w:rsidRPr="008801E6">
        <w:rPr>
          <w:b/>
          <w:highlight w:val="green"/>
          <w:u w:val="single"/>
          <w:lang w:eastAsia="x-none"/>
        </w:rPr>
        <w:t>Agre</w:t>
      </w:r>
      <w:r>
        <w:rPr>
          <w:b/>
          <w:highlight w:val="green"/>
          <w:u w:val="single"/>
          <w:lang w:eastAsia="x-none"/>
        </w:rPr>
        <w:t>e</w:t>
      </w:r>
      <w:r w:rsidRPr="008801E6">
        <w:rPr>
          <w:b/>
          <w:highlight w:val="green"/>
          <w:u w:val="single"/>
          <w:lang w:eastAsia="x-none"/>
        </w:rPr>
        <w:t>ment:</w:t>
      </w:r>
      <w:r w:rsidRPr="004740F6">
        <w:rPr>
          <w:b/>
          <w:lang w:eastAsia="x-none"/>
        </w:rPr>
        <w:t xml:space="preserve"> </w:t>
      </w:r>
      <w:r w:rsidRPr="008801E6">
        <w:rPr>
          <w:lang w:eastAsia="x-none"/>
        </w:rPr>
        <w:t>(a</w:t>
      </w:r>
      <w:r>
        <w:rPr>
          <w:lang w:eastAsia="x-none"/>
        </w:rPr>
        <w:t>s a good compromise considering</w:t>
      </w:r>
      <w:r w:rsidRPr="008801E6">
        <w:rPr>
          <w:lang w:eastAsia="x-none"/>
        </w:rPr>
        <w:t xml:space="preserve"> self-</w:t>
      </w:r>
      <w:proofErr w:type="spellStart"/>
      <w:r w:rsidRPr="008801E6">
        <w:rPr>
          <w:lang w:eastAsia="x-none"/>
        </w:rPr>
        <w:t>decodability</w:t>
      </w:r>
      <w:proofErr w:type="spellEnd"/>
      <w:r w:rsidRPr="008801E6">
        <w:rPr>
          <w:lang w:eastAsia="x-none"/>
        </w:rPr>
        <w:t>, performance and complexity)</w:t>
      </w:r>
    </w:p>
    <w:p w14:paraId="3FB124D2" w14:textId="77777777" w:rsidR="009E2FCE" w:rsidRDefault="009E2FCE" w:rsidP="009E2FCE">
      <w:pPr>
        <w:numPr>
          <w:ilvl w:val="0"/>
          <w:numId w:val="13"/>
        </w:numPr>
        <w:overflowPunct/>
        <w:autoSpaceDE/>
        <w:autoSpaceDN/>
        <w:adjustRightInd/>
        <w:spacing w:after="0"/>
        <w:textAlignment w:val="auto"/>
        <w:rPr>
          <w:lang w:eastAsia="x-none"/>
        </w:rPr>
      </w:pPr>
      <w:r w:rsidRPr="008801E6">
        <w:rPr>
          <w:lang w:eastAsia="x-none"/>
        </w:rPr>
        <w:t xml:space="preserve">When LBRM is not applied, </w:t>
      </w:r>
      <w:r>
        <w:rPr>
          <w:lang w:eastAsia="x-none"/>
        </w:rPr>
        <w:t>f</w:t>
      </w:r>
      <w:r w:rsidRPr="008801E6">
        <w:rPr>
          <w:lang w:eastAsia="x-none"/>
        </w:rPr>
        <w:t>ix RVs {0,1,2,3} at {0,17,33,56}</w:t>
      </w:r>
      <w:r>
        <w:rPr>
          <w:lang w:eastAsia="x-none"/>
        </w:rPr>
        <w:t xml:space="preserve"> </w:t>
      </w:r>
      <w:r w:rsidRPr="006C41CC">
        <w:rPr>
          <w:rFonts w:ascii="Arial" w:hAnsi="Arial" w:cs="Arial"/>
          <w:lang w:eastAsia="x-none"/>
        </w:rPr>
        <w:t>x</w:t>
      </w:r>
      <w:r>
        <w:rPr>
          <w:lang w:eastAsia="x-none"/>
        </w:rPr>
        <w:t xml:space="preserve"> Z</w:t>
      </w:r>
      <w:r w:rsidRPr="008801E6">
        <w:rPr>
          <w:lang w:eastAsia="x-none"/>
        </w:rPr>
        <w:t xml:space="preserve"> for BG1 and {0,13,25,43}</w:t>
      </w:r>
      <w:r w:rsidRPr="006C41CC">
        <w:rPr>
          <w:rFonts w:ascii="Arial" w:hAnsi="Arial" w:cs="Arial"/>
          <w:lang w:eastAsia="x-none"/>
        </w:rPr>
        <w:t xml:space="preserve"> x</w:t>
      </w:r>
      <w:r>
        <w:rPr>
          <w:lang w:eastAsia="x-none"/>
        </w:rPr>
        <w:t xml:space="preserve"> Z</w:t>
      </w:r>
      <w:r w:rsidRPr="008801E6">
        <w:rPr>
          <w:lang w:eastAsia="x-none"/>
        </w:rPr>
        <w:t xml:space="preserve"> for BG2</w:t>
      </w:r>
    </w:p>
    <w:p w14:paraId="09DE6888" w14:textId="77777777" w:rsidR="009E2FCE" w:rsidRDefault="009E2FCE" w:rsidP="009E2FCE">
      <w:pPr>
        <w:rPr>
          <w:lang w:eastAsia="x-none"/>
        </w:rPr>
      </w:pPr>
    </w:p>
    <w:p w14:paraId="345CCD86" w14:textId="77777777" w:rsidR="009E2FCE" w:rsidRDefault="009E2FCE" w:rsidP="009E2FCE">
      <w:pPr>
        <w:rPr>
          <w:lang w:eastAsia="x-none"/>
        </w:rPr>
      </w:pPr>
    </w:p>
    <w:p w14:paraId="67455648" w14:textId="77777777" w:rsidR="009E2FCE" w:rsidRPr="00EA4E09" w:rsidRDefault="009E2FCE" w:rsidP="009E2FCE">
      <w:pPr>
        <w:rPr>
          <w:b/>
          <w:u w:val="single"/>
          <w:lang w:eastAsia="x-none"/>
        </w:rPr>
      </w:pPr>
      <w:r w:rsidRPr="00EA4E09">
        <w:rPr>
          <w:b/>
          <w:u w:val="single"/>
          <w:lang w:eastAsia="x-none"/>
        </w:rPr>
        <w:t xml:space="preserve">Default RV order for any special cases where RV index is not explicitly </w:t>
      </w:r>
      <w:proofErr w:type="spellStart"/>
      <w:r w:rsidRPr="00EA4E09">
        <w:rPr>
          <w:b/>
          <w:u w:val="single"/>
          <w:lang w:eastAsia="x-none"/>
        </w:rPr>
        <w:t>signalled</w:t>
      </w:r>
      <w:proofErr w:type="spellEnd"/>
      <w:r w:rsidRPr="00EA4E09">
        <w:rPr>
          <w:b/>
          <w:u w:val="single"/>
          <w:lang w:eastAsia="x-none"/>
        </w:rPr>
        <w:t xml:space="preserve"> but there is no ambiguity about which instance of a transmission occurred:</w:t>
      </w:r>
    </w:p>
    <w:p w14:paraId="6A0C08BB" w14:textId="77777777" w:rsidR="009E2FCE" w:rsidRPr="00EA4E09" w:rsidRDefault="009E2FCE" w:rsidP="009E2FCE">
      <w:pPr>
        <w:numPr>
          <w:ilvl w:val="0"/>
          <w:numId w:val="13"/>
        </w:numPr>
        <w:overflowPunct/>
        <w:autoSpaceDE/>
        <w:autoSpaceDN/>
        <w:adjustRightInd/>
        <w:spacing w:after="0"/>
        <w:textAlignment w:val="auto"/>
        <w:rPr>
          <w:lang w:eastAsia="x-none"/>
        </w:rPr>
      </w:pPr>
      <w:r w:rsidRPr="00EA4E09">
        <w:rPr>
          <w:lang w:eastAsia="x-none"/>
        </w:rPr>
        <w:t>Evaluate at least {0</w:t>
      </w:r>
      <w:proofErr w:type="gramStart"/>
      <w:r w:rsidRPr="00EA4E09">
        <w:rPr>
          <w:lang w:eastAsia="x-none"/>
        </w:rPr>
        <w:t>,2,3,1</w:t>
      </w:r>
      <w:proofErr w:type="gramEnd"/>
      <w:r w:rsidRPr="00EA4E09">
        <w:rPr>
          <w:lang w:eastAsia="x-none"/>
        </w:rPr>
        <w:t xml:space="preserve">} and {0,3,2,1} until RAN1#90bis. </w:t>
      </w:r>
    </w:p>
    <w:p w14:paraId="6AB7E272" w14:textId="77777777" w:rsidR="009E2FCE" w:rsidRPr="00EA4E09" w:rsidRDefault="009E2FCE" w:rsidP="009E2FCE">
      <w:pPr>
        <w:numPr>
          <w:ilvl w:val="0"/>
          <w:numId w:val="13"/>
        </w:numPr>
        <w:overflowPunct/>
        <w:autoSpaceDE/>
        <w:autoSpaceDN/>
        <w:adjustRightInd/>
        <w:spacing w:after="0"/>
        <w:textAlignment w:val="auto"/>
        <w:rPr>
          <w:lang w:eastAsia="x-none"/>
        </w:rPr>
      </w:pPr>
      <w:r w:rsidRPr="00EA4E09">
        <w:rPr>
          <w:lang w:eastAsia="x-none"/>
        </w:rPr>
        <w:t xml:space="preserve">Take final decision at RAN1#90bis. </w:t>
      </w:r>
    </w:p>
    <w:p w14:paraId="2B771A90" w14:textId="77777777" w:rsidR="009E2FCE" w:rsidRDefault="009E2FCE" w:rsidP="009E2FCE">
      <w:pPr>
        <w:rPr>
          <w:lang w:eastAsia="x-none"/>
        </w:rPr>
      </w:pPr>
    </w:p>
    <w:p w14:paraId="1342D66A" w14:textId="77777777" w:rsidR="009E2FCE" w:rsidRDefault="009E2FCE" w:rsidP="009E2FCE">
      <w:pPr>
        <w:rPr>
          <w:lang w:eastAsia="x-none"/>
        </w:rPr>
      </w:pPr>
      <w:r>
        <w:rPr>
          <w:lang w:eastAsia="x-none"/>
        </w:rPr>
        <w:t xml:space="preserve">FFS for cases where there may be ambiguity, if any such cases exist – discuss offline until RAN1#90bis. </w:t>
      </w:r>
    </w:p>
    <w:p w14:paraId="06285AA8" w14:textId="77777777" w:rsidR="009E2FCE" w:rsidRDefault="009E2FCE" w:rsidP="009E2FCE">
      <w:pPr>
        <w:rPr>
          <w:lang w:eastAsia="x-none"/>
        </w:rPr>
      </w:pPr>
      <w:r>
        <w:rPr>
          <w:lang w:eastAsia="x-none"/>
        </w:rPr>
        <w:t xml:space="preserve">Note that order of RVs should be discussed in the channel coding session, e.g. if it is decided elsewhere to support RV cycling. </w:t>
      </w:r>
    </w:p>
    <w:p w14:paraId="775C8F2D" w14:textId="77777777" w:rsidR="009E2FCE" w:rsidRDefault="009E2FCE" w:rsidP="0030551F">
      <w:pPr>
        <w:jc w:val="both"/>
      </w:pPr>
    </w:p>
    <w:p w14:paraId="42DCFC64" w14:textId="77777777" w:rsidR="0030551F" w:rsidRDefault="0030551F" w:rsidP="0030551F">
      <w:pPr>
        <w:jc w:val="center"/>
      </w:pPr>
    </w:p>
    <w:p w14:paraId="32CB6ED5" w14:textId="77777777" w:rsidR="0030551F" w:rsidRPr="0030551F" w:rsidRDefault="0030551F" w:rsidP="0030551F">
      <w:pPr>
        <w:spacing w:before="240"/>
        <w:jc w:val="both"/>
        <w:rPr>
          <w:lang w:val="en-GB"/>
        </w:rPr>
      </w:pPr>
    </w:p>
    <w:sectPr w:rsidR="0030551F" w:rsidRPr="0030551F" w:rsidSect="004D74F3">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734C5" w14:textId="77777777" w:rsidR="00A76F08" w:rsidRDefault="00A76F08">
      <w:pPr>
        <w:spacing w:after="0"/>
      </w:pPr>
      <w:r>
        <w:separator/>
      </w:r>
    </w:p>
  </w:endnote>
  <w:endnote w:type="continuationSeparator" w:id="0">
    <w:p w14:paraId="742C94E5" w14:textId="77777777" w:rsidR="00A76F08" w:rsidRDefault="00A76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27E42" w14:textId="77777777" w:rsidR="004D74F3" w:rsidRDefault="008475B0" w:rsidP="004D74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8299B3" w14:textId="77777777" w:rsidR="004D74F3" w:rsidRDefault="00A76F08" w:rsidP="004D74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840227700"/>
      <w:docPartObj>
        <w:docPartGallery w:val="Page Numbers (Bottom of Page)"/>
        <w:docPartUnique/>
      </w:docPartObj>
    </w:sdtPr>
    <w:sdtEndPr>
      <w:rPr>
        <w:noProof/>
        <w:color w:val="7F7F7F" w:themeColor="background1" w:themeShade="7F"/>
        <w:spacing w:val="60"/>
      </w:rPr>
    </w:sdtEndPr>
    <w:sdtContent>
      <w:p w14:paraId="5DE200EA" w14:textId="77777777" w:rsidR="00526C98" w:rsidRDefault="00526C98">
        <w:pPr>
          <w:pStyle w:val="Footer"/>
          <w:pBdr>
            <w:top w:val="single" w:sz="4" w:space="1" w:color="D9D9D9" w:themeColor="background1" w:themeShade="D9"/>
          </w:pBdr>
          <w:jc w:val="right"/>
        </w:pPr>
        <w:r>
          <w:rPr>
            <w:noProof w:val="0"/>
          </w:rPr>
          <w:fldChar w:fldCharType="begin"/>
        </w:r>
        <w:r>
          <w:instrText xml:space="preserve"> PAGE   \* MERGEFORMAT </w:instrText>
        </w:r>
        <w:r>
          <w:rPr>
            <w:noProof w:val="0"/>
          </w:rPr>
          <w:fldChar w:fldCharType="separate"/>
        </w:r>
        <w:r w:rsidR="00245306">
          <w:t>7</w:t>
        </w:r>
        <w:r>
          <w:fldChar w:fldCharType="end"/>
        </w:r>
        <w:r>
          <w:t xml:space="preserve"> | </w:t>
        </w:r>
        <w:r>
          <w:rPr>
            <w:color w:val="7F7F7F" w:themeColor="background1" w:themeShade="7F"/>
            <w:spacing w:val="60"/>
          </w:rPr>
          <w:t>Page</w:t>
        </w:r>
      </w:p>
    </w:sdtContent>
  </w:sdt>
  <w:p w14:paraId="4249FBEE" w14:textId="77777777" w:rsidR="004D74F3" w:rsidRDefault="00A76F08" w:rsidP="004D74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2F836" w14:textId="77777777" w:rsidR="00A76F08" w:rsidRDefault="00A76F08">
      <w:pPr>
        <w:spacing w:after="0"/>
      </w:pPr>
      <w:r>
        <w:separator/>
      </w:r>
    </w:p>
  </w:footnote>
  <w:footnote w:type="continuationSeparator" w:id="0">
    <w:p w14:paraId="789F8972" w14:textId="77777777" w:rsidR="00A76F08" w:rsidRDefault="00A76F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570C5" w14:textId="77777777" w:rsidR="004D74F3" w:rsidRDefault="008475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15D"/>
    <w:multiLevelType w:val="hybridMultilevel"/>
    <w:tmpl w:val="E09433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41DA0"/>
    <w:multiLevelType w:val="hybridMultilevel"/>
    <w:tmpl w:val="77EC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74A26"/>
    <w:multiLevelType w:val="hybridMultilevel"/>
    <w:tmpl w:val="94A62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B3586A"/>
    <w:multiLevelType w:val="hybridMultilevel"/>
    <w:tmpl w:val="4934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9D7E6A"/>
    <w:multiLevelType w:val="hybridMultilevel"/>
    <w:tmpl w:val="038C5308"/>
    <w:lvl w:ilvl="0" w:tplc="02F25E9C">
      <w:start w:val="1"/>
      <w:numFmt w:val="lowerLetter"/>
      <w:lvlText w:val="(%1)"/>
      <w:lvlJc w:val="left"/>
      <w:pPr>
        <w:ind w:left="450" w:hanging="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D7E6B"/>
    <w:multiLevelType w:val="hybridMultilevel"/>
    <w:tmpl w:val="2EA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56B33"/>
    <w:multiLevelType w:val="hybridMultilevel"/>
    <w:tmpl w:val="8C44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588401BC"/>
    <w:multiLevelType w:val="hybridMultilevel"/>
    <w:tmpl w:val="BBA4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5947F59"/>
    <w:multiLevelType w:val="hybridMultilevel"/>
    <w:tmpl w:val="780AA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6"/>
  </w:num>
  <w:num w:numId="4">
    <w:abstractNumId w:val="7"/>
  </w:num>
  <w:num w:numId="5">
    <w:abstractNumId w:val="4"/>
  </w:num>
  <w:num w:numId="6">
    <w:abstractNumId w:val="0"/>
  </w:num>
  <w:num w:numId="7">
    <w:abstractNumId w:val="10"/>
  </w:num>
  <w:num w:numId="8">
    <w:abstractNumId w:val="9"/>
  </w:num>
  <w:num w:numId="9">
    <w:abstractNumId w:val="13"/>
  </w:num>
  <w:num w:numId="10">
    <w:abstractNumId w:val="3"/>
  </w:num>
  <w:num w:numId="11">
    <w:abstractNumId w:val="15"/>
  </w:num>
  <w:num w:numId="12">
    <w:abstractNumId w:val="11"/>
  </w:num>
  <w:num w:numId="13">
    <w:abstractNumId w:val="8"/>
  </w:num>
  <w:num w:numId="14">
    <w:abstractNumId w:val="5"/>
  </w:num>
  <w:num w:numId="15">
    <w:abstractNumId w:val="12"/>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5B0"/>
    <w:rsid w:val="00001EA7"/>
    <w:rsid w:val="00005FA1"/>
    <w:rsid w:val="00010CA4"/>
    <w:rsid w:val="00036973"/>
    <w:rsid w:val="00062F19"/>
    <w:rsid w:val="00076DF7"/>
    <w:rsid w:val="000960A8"/>
    <w:rsid w:val="000C0E66"/>
    <w:rsid w:val="000C61EB"/>
    <w:rsid w:val="000E306A"/>
    <w:rsid w:val="00112FF0"/>
    <w:rsid w:val="0011415D"/>
    <w:rsid w:val="00127167"/>
    <w:rsid w:val="00130833"/>
    <w:rsid w:val="00135BB3"/>
    <w:rsid w:val="001404F4"/>
    <w:rsid w:val="00161A9E"/>
    <w:rsid w:val="0017749A"/>
    <w:rsid w:val="00183A1C"/>
    <w:rsid w:val="00186E01"/>
    <w:rsid w:val="00192030"/>
    <w:rsid w:val="00194F78"/>
    <w:rsid w:val="00195FA4"/>
    <w:rsid w:val="001B6093"/>
    <w:rsid w:val="001E597F"/>
    <w:rsid w:val="001E63B3"/>
    <w:rsid w:val="001E77F7"/>
    <w:rsid w:val="001F3B2A"/>
    <w:rsid w:val="002239E5"/>
    <w:rsid w:val="00227296"/>
    <w:rsid w:val="00245306"/>
    <w:rsid w:val="00251B4F"/>
    <w:rsid w:val="00265A39"/>
    <w:rsid w:val="002821FA"/>
    <w:rsid w:val="002A18C0"/>
    <w:rsid w:val="002C7351"/>
    <w:rsid w:val="002D1156"/>
    <w:rsid w:val="002E3CCB"/>
    <w:rsid w:val="002E4504"/>
    <w:rsid w:val="002E476F"/>
    <w:rsid w:val="002E580F"/>
    <w:rsid w:val="002F3778"/>
    <w:rsid w:val="0030551F"/>
    <w:rsid w:val="003152CD"/>
    <w:rsid w:val="003250A4"/>
    <w:rsid w:val="0035301E"/>
    <w:rsid w:val="003743CE"/>
    <w:rsid w:val="00374689"/>
    <w:rsid w:val="0037503A"/>
    <w:rsid w:val="00377824"/>
    <w:rsid w:val="00377889"/>
    <w:rsid w:val="003830F1"/>
    <w:rsid w:val="00384C9B"/>
    <w:rsid w:val="00386CD1"/>
    <w:rsid w:val="00393EC0"/>
    <w:rsid w:val="003B33BE"/>
    <w:rsid w:val="003D133A"/>
    <w:rsid w:val="003D3200"/>
    <w:rsid w:val="003E2572"/>
    <w:rsid w:val="003F34FC"/>
    <w:rsid w:val="004163FE"/>
    <w:rsid w:val="00442980"/>
    <w:rsid w:val="00445D4B"/>
    <w:rsid w:val="00445F4F"/>
    <w:rsid w:val="00453755"/>
    <w:rsid w:val="0045797D"/>
    <w:rsid w:val="004622FB"/>
    <w:rsid w:val="00493E30"/>
    <w:rsid w:val="004A0B3C"/>
    <w:rsid w:val="004A4DED"/>
    <w:rsid w:val="004A5664"/>
    <w:rsid w:val="004B1E00"/>
    <w:rsid w:val="004D02A4"/>
    <w:rsid w:val="004D2286"/>
    <w:rsid w:val="004D6026"/>
    <w:rsid w:val="004F500D"/>
    <w:rsid w:val="004F5D82"/>
    <w:rsid w:val="0050025F"/>
    <w:rsid w:val="00510E54"/>
    <w:rsid w:val="00515629"/>
    <w:rsid w:val="00515CD8"/>
    <w:rsid w:val="00525DCA"/>
    <w:rsid w:val="00526C98"/>
    <w:rsid w:val="005374F8"/>
    <w:rsid w:val="00540071"/>
    <w:rsid w:val="005520B7"/>
    <w:rsid w:val="00580F2E"/>
    <w:rsid w:val="00582F1C"/>
    <w:rsid w:val="0058353E"/>
    <w:rsid w:val="00584D19"/>
    <w:rsid w:val="00594D75"/>
    <w:rsid w:val="00597D2E"/>
    <w:rsid w:val="005B1830"/>
    <w:rsid w:val="005B5CA1"/>
    <w:rsid w:val="005B6D8F"/>
    <w:rsid w:val="005C0254"/>
    <w:rsid w:val="005C15E5"/>
    <w:rsid w:val="005C301F"/>
    <w:rsid w:val="005D739C"/>
    <w:rsid w:val="005F56FF"/>
    <w:rsid w:val="005F6F0B"/>
    <w:rsid w:val="00620395"/>
    <w:rsid w:val="006219E0"/>
    <w:rsid w:val="00622561"/>
    <w:rsid w:val="006400AD"/>
    <w:rsid w:val="00640E8D"/>
    <w:rsid w:val="0064258B"/>
    <w:rsid w:val="0065298C"/>
    <w:rsid w:val="00666DD7"/>
    <w:rsid w:val="00683558"/>
    <w:rsid w:val="00691AD3"/>
    <w:rsid w:val="00697689"/>
    <w:rsid w:val="006B6EBE"/>
    <w:rsid w:val="006C7F9F"/>
    <w:rsid w:val="006D2A90"/>
    <w:rsid w:val="006D7C2F"/>
    <w:rsid w:val="006E5F78"/>
    <w:rsid w:val="00705E19"/>
    <w:rsid w:val="00717CCD"/>
    <w:rsid w:val="00721625"/>
    <w:rsid w:val="00724E19"/>
    <w:rsid w:val="007361D0"/>
    <w:rsid w:val="00741B72"/>
    <w:rsid w:val="007450DB"/>
    <w:rsid w:val="00756137"/>
    <w:rsid w:val="007965AC"/>
    <w:rsid w:val="007A2176"/>
    <w:rsid w:val="007B0EB5"/>
    <w:rsid w:val="007C14D3"/>
    <w:rsid w:val="007C65A7"/>
    <w:rsid w:val="007D4FF9"/>
    <w:rsid w:val="007E1512"/>
    <w:rsid w:val="007E64B3"/>
    <w:rsid w:val="00804CD4"/>
    <w:rsid w:val="00807FDA"/>
    <w:rsid w:val="00826195"/>
    <w:rsid w:val="00832412"/>
    <w:rsid w:val="00835241"/>
    <w:rsid w:val="00835EC5"/>
    <w:rsid w:val="00836958"/>
    <w:rsid w:val="00844F53"/>
    <w:rsid w:val="008475B0"/>
    <w:rsid w:val="0085227F"/>
    <w:rsid w:val="00852B51"/>
    <w:rsid w:val="008609E5"/>
    <w:rsid w:val="0086799D"/>
    <w:rsid w:val="00880251"/>
    <w:rsid w:val="008B1631"/>
    <w:rsid w:val="008C2BCD"/>
    <w:rsid w:val="008D61EA"/>
    <w:rsid w:val="008F26D9"/>
    <w:rsid w:val="008F2830"/>
    <w:rsid w:val="009154BF"/>
    <w:rsid w:val="00923266"/>
    <w:rsid w:val="009335A8"/>
    <w:rsid w:val="00954E1F"/>
    <w:rsid w:val="00956BA4"/>
    <w:rsid w:val="00966332"/>
    <w:rsid w:val="009670D8"/>
    <w:rsid w:val="00970553"/>
    <w:rsid w:val="00985412"/>
    <w:rsid w:val="0098604B"/>
    <w:rsid w:val="0098706C"/>
    <w:rsid w:val="009A3A74"/>
    <w:rsid w:val="009C00E8"/>
    <w:rsid w:val="009E0F6F"/>
    <w:rsid w:val="009E2FCE"/>
    <w:rsid w:val="009E67B2"/>
    <w:rsid w:val="009F0E61"/>
    <w:rsid w:val="00A067B0"/>
    <w:rsid w:val="00A15975"/>
    <w:rsid w:val="00A17274"/>
    <w:rsid w:val="00A533FC"/>
    <w:rsid w:val="00A561B2"/>
    <w:rsid w:val="00A64326"/>
    <w:rsid w:val="00A7623C"/>
    <w:rsid w:val="00A76F08"/>
    <w:rsid w:val="00A80DF6"/>
    <w:rsid w:val="00A84E42"/>
    <w:rsid w:val="00AA035B"/>
    <w:rsid w:val="00AA553D"/>
    <w:rsid w:val="00AD09D8"/>
    <w:rsid w:val="00AD1F7D"/>
    <w:rsid w:val="00AE6FA2"/>
    <w:rsid w:val="00B0361C"/>
    <w:rsid w:val="00B1177F"/>
    <w:rsid w:val="00B306BC"/>
    <w:rsid w:val="00B31B07"/>
    <w:rsid w:val="00B34312"/>
    <w:rsid w:val="00B35879"/>
    <w:rsid w:val="00B4263A"/>
    <w:rsid w:val="00B635F5"/>
    <w:rsid w:val="00B72130"/>
    <w:rsid w:val="00B8126F"/>
    <w:rsid w:val="00B849F8"/>
    <w:rsid w:val="00B91DB5"/>
    <w:rsid w:val="00B94725"/>
    <w:rsid w:val="00BA6490"/>
    <w:rsid w:val="00BA6BFF"/>
    <w:rsid w:val="00BC322D"/>
    <w:rsid w:val="00BC5C1C"/>
    <w:rsid w:val="00BD333A"/>
    <w:rsid w:val="00BE06F1"/>
    <w:rsid w:val="00BF1124"/>
    <w:rsid w:val="00C020D0"/>
    <w:rsid w:val="00C06174"/>
    <w:rsid w:val="00C114C4"/>
    <w:rsid w:val="00C14D93"/>
    <w:rsid w:val="00C52BAE"/>
    <w:rsid w:val="00C60A0B"/>
    <w:rsid w:val="00C66927"/>
    <w:rsid w:val="00C70598"/>
    <w:rsid w:val="00C80E2D"/>
    <w:rsid w:val="00C81BA2"/>
    <w:rsid w:val="00CA4994"/>
    <w:rsid w:val="00CB4557"/>
    <w:rsid w:val="00CC0E0E"/>
    <w:rsid w:val="00CE00D1"/>
    <w:rsid w:val="00CE1A81"/>
    <w:rsid w:val="00CE3B5B"/>
    <w:rsid w:val="00CF1D54"/>
    <w:rsid w:val="00CF7E03"/>
    <w:rsid w:val="00D038D6"/>
    <w:rsid w:val="00D0536D"/>
    <w:rsid w:val="00D15F29"/>
    <w:rsid w:val="00D36A0D"/>
    <w:rsid w:val="00D4390D"/>
    <w:rsid w:val="00D52349"/>
    <w:rsid w:val="00D56BF3"/>
    <w:rsid w:val="00D63788"/>
    <w:rsid w:val="00D83BE8"/>
    <w:rsid w:val="00D87028"/>
    <w:rsid w:val="00DB58DA"/>
    <w:rsid w:val="00DC78C9"/>
    <w:rsid w:val="00DD0EA7"/>
    <w:rsid w:val="00E21451"/>
    <w:rsid w:val="00E45A21"/>
    <w:rsid w:val="00E50BC7"/>
    <w:rsid w:val="00E67546"/>
    <w:rsid w:val="00E719BE"/>
    <w:rsid w:val="00E778DF"/>
    <w:rsid w:val="00E842CE"/>
    <w:rsid w:val="00E95A74"/>
    <w:rsid w:val="00EA0450"/>
    <w:rsid w:val="00EA4E09"/>
    <w:rsid w:val="00EB09F4"/>
    <w:rsid w:val="00EC24F7"/>
    <w:rsid w:val="00EC5B60"/>
    <w:rsid w:val="00EE396B"/>
    <w:rsid w:val="00EE4B30"/>
    <w:rsid w:val="00EF12FE"/>
    <w:rsid w:val="00F01ABB"/>
    <w:rsid w:val="00F02559"/>
    <w:rsid w:val="00F04B0F"/>
    <w:rsid w:val="00F257D3"/>
    <w:rsid w:val="00F2794F"/>
    <w:rsid w:val="00F445A8"/>
    <w:rsid w:val="00F479BF"/>
    <w:rsid w:val="00F546BE"/>
    <w:rsid w:val="00F66387"/>
    <w:rsid w:val="00F768DB"/>
    <w:rsid w:val="00F92988"/>
    <w:rsid w:val="00FB03AF"/>
    <w:rsid w:val="00FB7E7C"/>
    <w:rsid w:val="00FC5427"/>
    <w:rsid w:val="00FE331F"/>
    <w:rsid w:val="00FF35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A28FE"/>
  <w15:chartTrackingRefBased/>
  <w15:docId w15:val="{2EC7BC9A-783F-4639-AFD8-69E3A21A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B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8475B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5">
    <w:name w:val="heading 5"/>
    <w:basedOn w:val="Normal"/>
    <w:next w:val="Normal"/>
    <w:link w:val="Heading5Char"/>
    <w:uiPriority w:val="9"/>
    <w:semiHidden/>
    <w:unhideWhenUsed/>
    <w:qFormat/>
    <w:rsid w:val="007E151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475B0"/>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8475B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8475B0"/>
    <w:rPr>
      <w:rFonts w:ascii="Arial" w:eastAsia="SimSun" w:hAnsi="Arial" w:cs="Times New Roman"/>
      <w:b/>
      <w:i/>
      <w:noProof/>
      <w:sz w:val="18"/>
      <w:szCs w:val="20"/>
    </w:rPr>
  </w:style>
  <w:style w:type="character" w:styleId="PageNumber">
    <w:name w:val="page number"/>
    <w:basedOn w:val="DefaultParagraphFont"/>
    <w:rsid w:val="008475B0"/>
  </w:style>
  <w:style w:type="character" w:customStyle="1" w:styleId="Heading1Char1">
    <w:name w:val="Heading 1 Char1"/>
    <w:link w:val="Heading1"/>
    <w:rsid w:val="008475B0"/>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8475B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sid w:val="008475B0"/>
    <w:rPr>
      <w:rFonts w:ascii="Calibri" w:eastAsia="Calibri" w:hAnsi="Calibri" w:cs="Times New Roman"/>
    </w:rPr>
  </w:style>
  <w:style w:type="paragraph" w:styleId="Header">
    <w:name w:val="header"/>
    <w:basedOn w:val="Normal"/>
    <w:link w:val="HeaderChar"/>
    <w:uiPriority w:val="99"/>
    <w:unhideWhenUsed/>
    <w:rsid w:val="008475B0"/>
    <w:pPr>
      <w:tabs>
        <w:tab w:val="center" w:pos="4680"/>
        <w:tab w:val="right" w:pos="9360"/>
      </w:tabs>
      <w:spacing w:after="0"/>
    </w:pPr>
  </w:style>
  <w:style w:type="character" w:customStyle="1" w:styleId="HeaderChar">
    <w:name w:val="Header Char"/>
    <w:basedOn w:val="DefaultParagraphFont"/>
    <w:link w:val="Header"/>
    <w:uiPriority w:val="99"/>
    <w:rsid w:val="008475B0"/>
    <w:rPr>
      <w:rFonts w:ascii="Times New Roman" w:eastAsia="SimSun" w:hAnsi="Times New Roman" w:cs="Times New Roman"/>
      <w:sz w:val="20"/>
      <w:szCs w:val="20"/>
    </w:rPr>
  </w:style>
  <w:style w:type="character" w:styleId="Hyperlink">
    <w:name w:val="Hyperlink"/>
    <w:uiPriority w:val="99"/>
    <w:rsid w:val="00807FDA"/>
    <w:rPr>
      <w:color w:val="0000FF"/>
      <w:u w:val="single"/>
    </w:rPr>
  </w:style>
  <w:style w:type="character" w:customStyle="1" w:styleId="Heading5Char">
    <w:name w:val="Heading 5 Char"/>
    <w:basedOn w:val="DefaultParagraphFont"/>
    <w:link w:val="Heading5"/>
    <w:uiPriority w:val="9"/>
    <w:semiHidden/>
    <w:rsid w:val="007E1512"/>
    <w:rPr>
      <w:rFonts w:asciiTheme="majorHAnsi" w:eastAsiaTheme="majorEastAsia" w:hAnsiTheme="majorHAnsi" w:cstheme="majorBidi"/>
      <w:color w:val="2E74B5" w:themeColor="accent1" w:themeShade="BF"/>
      <w:sz w:val="20"/>
      <w:szCs w:val="20"/>
    </w:rPr>
  </w:style>
  <w:style w:type="paragraph" w:styleId="BalloonText">
    <w:name w:val="Balloon Text"/>
    <w:basedOn w:val="Normal"/>
    <w:link w:val="BalloonTextChar"/>
    <w:uiPriority w:val="99"/>
    <w:semiHidden/>
    <w:unhideWhenUsed/>
    <w:rsid w:val="00DC78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8C9"/>
    <w:rPr>
      <w:rFonts w:ascii="Segoe UI" w:eastAsia="SimSun" w:hAnsi="Segoe UI" w:cs="Segoe UI"/>
      <w:sz w:val="18"/>
      <w:szCs w:val="18"/>
    </w:rPr>
  </w:style>
  <w:style w:type="character" w:styleId="CommentReference">
    <w:name w:val="annotation reference"/>
    <w:basedOn w:val="DefaultParagraphFont"/>
    <w:uiPriority w:val="99"/>
    <w:semiHidden/>
    <w:unhideWhenUsed/>
    <w:rsid w:val="002E580F"/>
    <w:rPr>
      <w:sz w:val="16"/>
      <w:szCs w:val="16"/>
    </w:rPr>
  </w:style>
  <w:style w:type="paragraph" w:styleId="CommentText">
    <w:name w:val="annotation text"/>
    <w:basedOn w:val="Normal"/>
    <w:link w:val="CommentTextChar"/>
    <w:uiPriority w:val="99"/>
    <w:unhideWhenUsed/>
    <w:rsid w:val="002E580F"/>
  </w:style>
  <w:style w:type="character" w:customStyle="1" w:styleId="CommentTextChar">
    <w:name w:val="Comment Text Char"/>
    <w:basedOn w:val="DefaultParagraphFont"/>
    <w:link w:val="CommentText"/>
    <w:uiPriority w:val="99"/>
    <w:rsid w:val="002E580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580F"/>
    <w:rPr>
      <w:b/>
      <w:bCs/>
    </w:rPr>
  </w:style>
  <w:style w:type="character" w:customStyle="1" w:styleId="CommentSubjectChar">
    <w:name w:val="Comment Subject Char"/>
    <w:basedOn w:val="CommentTextChar"/>
    <w:link w:val="CommentSubject"/>
    <w:uiPriority w:val="99"/>
    <w:semiHidden/>
    <w:rsid w:val="002E580F"/>
    <w:rPr>
      <w:rFonts w:ascii="Times New Roman" w:eastAsia="SimSun" w:hAnsi="Times New Roman" w:cs="Times New Roman"/>
      <w:b/>
      <w:bCs/>
      <w:sz w:val="20"/>
      <w:szCs w:val="20"/>
    </w:rPr>
  </w:style>
  <w:style w:type="paragraph" w:styleId="Revision">
    <w:name w:val="Revision"/>
    <w:hidden/>
    <w:uiPriority w:val="99"/>
    <w:semiHidden/>
    <w:rsid w:val="004D02A4"/>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7398">
      <w:bodyDiv w:val="1"/>
      <w:marLeft w:val="0"/>
      <w:marRight w:val="0"/>
      <w:marTop w:val="0"/>
      <w:marBottom w:val="0"/>
      <w:divBdr>
        <w:top w:val="none" w:sz="0" w:space="0" w:color="auto"/>
        <w:left w:val="none" w:sz="0" w:space="0" w:color="auto"/>
        <w:bottom w:val="none" w:sz="0" w:space="0" w:color="auto"/>
        <w:right w:val="none" w:sz="0" w:space="0" w:color="auto"/>
      </w:divBdr>
    </w:div>
    <w:div w:id="109401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1334</Words>
  <Characters>6716</Characters>
  <Application>Microsoft Office Word</Application>
  <DocSecurity>0</DocSecurity>
  <Lines>133</Lines>
  <Paragraphs>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Hamidi-sepehr, Fatemeh</cp:lastModifiedBy>
  <cp:revision>11</cp:revision>
  <dcterms:created xsi:type="dcterms:W3CDTF">2017-10-02T23:15:00Z</dcterms:created>
  <dcterms:modified xsi:type="dcterms:W3CDTF">2017-10-02T23:33:00Z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eb02f512-52ec-4113-ba43-6b6a23a13131</vt:lpwstr>
  </property>
  <property fmtid="{D5CDD505-2E9C-101B-9397-08002B2CF9AE}" pid="3" name="CTP_TimeStamp">
    <vt:lpwstr>2017-10-02 23:33:14Z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